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F713" w14:textId="77777777" w:rsidR="005F0A06" w:rsidRPr="001A00F5" w:rsidRDefault="001A00F5" w:rsidP="001A00F5">
      <w:pPr>
        <w:widowControl w:val="0"/>
        <w:spacing w:after="0" w:line="240" w:lineRule="auto"/>
        <w:contextualSpacing/>
        <w:jc w:val="both"/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</w:pPr>
      <w:r w:rsidRPr="001A00F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>AO(À) ILMO(A). SR(A). CHEFE DA DIVISÃO DE GESTÃO DE PESSOAS DA [</w:t>
      </w:r>
      <w:r w:rsidRPr="001A00F5">
        <w:rPr>
          <w:rFonts w:ascii="Tahoma" w:hAnsi="Tahoma" w:cs="Tahoma"/>
          <w:caps/>
          <w:color w:val="000000"/>
          <w:sz w:val="23"/>
          <w:szCs w:val="23"/>
          <w:highlight w:val="yellow"/>
          <w:shd w:val="clear" w:color="auto" w:fill="FFFFFF"/>
        </w:rPr>
        <w:t>identificação númerica da região fiscal</w:t>
      </w:r>
      <w:r w:rsidRPr="001A00F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>] REGIÃO FISCAL – DIGEP [</w:t>
      </w:r>
      <w:r w:rsidRPr="001A00F5">
        <w:rPr>
          <w:rFonts w:ascii="Tahoma" w:hAnsi="Tahoma" w:cs="Tahoma"/>
          <w:caps/>
          <w:color w:val="000000"/>
          <w:sz w:val="23"/>
          <w:szCs w:val="23"/>
          <w:highlight w:val="yellow"/>
          <w:shd w:val="clear" w:color="auto" w:fill="FFFFFF"/>
        </w:rPr>
        <w:t>identificação númerica da DIGEP</w:t>
      </w:r>
      <w:r w:rsidRPr="001A00F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 xml:space="preserve">] – </w:t>
      </w:r>
      <w:proofErr w:type="gramStart"/>
      <w:r w:rsidRPr="001A00F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>SSRF</w:t>
      </w:r>
      <w:r w:rsidR="00994A8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 xml:space="preserve"> </w:t>
      </w:r>
      <w:r w:rsidR="001C3E00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 xml:space="preserve"> </w:t>
      </w:r>
      <w:r w:rsidRPr="001A00F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>[</w:t>
      </w:r>
      <w:proofErr w:type="gramEnd"/>
      <w:r w:rsidRPr="001A00F5">
        <w:rPr>
          <w:rFonts w:ascii="Tahoma" w:hAnsi="Tahoma" w:cs="Tahoma"/>
          <w:caps/>
          <w:color w:val="000000"/>
          <w:sz w:val="23"/>
          <w:szCs w:val="23"/>
          <w:highlight w:val="yellow"/>
          <w:shd w:val="clear" w:color="auto" w:fill="FFFFFF"/>
        </w:rPr>
        <w:t>identificação númerica da região fiscal</w:t>
      </w:r>
      <w:r w:rsidRPr="001A00F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>]</w:t>
      </w:r>
    </w:p>
    <w:p w14:paraId="46CD47E7" w14:textId="77777777" w:rsidR="0061326D" w:rsidRPr="00884418" w:rsidRDefault="0061326D" w:rsidP="003657A7">
      <w:pPr>
        <w:widowControl w:val="0"/>
        <w:spacing w:after="0" w:line="360" w:lineRule="auto"/>
        <w:ind w:left="1701"/>
        <w:contextualSpacing/>
        <w:jc w:val="both"/>
        <w:rPr>
          <w:rFonts w:ascii="Tahoma" w:hAnsi="Tahoma" w:cs="Tahoma"/>
          <w:sz w:val="23"/>
          <w:szCs w:val="23"/>
        </w:rPr>
      </w:pPr>
    </w:p>
    <w:p w14:paraId="4C4C4502" w14:textId="77777777" w:rsidR="00FD7953" w:rsidRPr="00884418" w:rsidRDefault="00FD7953" w:rsidP="005115F2">
      <w:pPr>
        <w:widowControl w:val="0"/>
        <w:spacing w:after="0" w:line="360" w:lineRule="auto"/>
        <w:contextualSpacing/>
        <w:jc w:val="both"/>
        <w:rPr>
          <w:rFonts w:ascii="Tahoma" w:hAnsi="Tahoma" w:cs="Tahoma"/>
          <w:sz w:val="23"/>
          <w:szCs w:val="23"/>
        </w:rPr>
      </w:pPr>
    </w:p>
    <w:p w14:paraId="25003146" w14:textId="77777777" w:rsidR="005F0A06" w:rsidRPr="00884418" w:rsidRDefault="006430E2" w:rsidP="0053098D">
      <w:pPr>
        <w:widowControl w:val="0"/>
        <w:spacing w:after="0"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[</w:t>
      </w:r>
      <w:r w:rsidRPr="006430E2">
        <w:rPr>
          <w:rFonts w:ascii="Tahoma" w:hAnsi="Tahoma" w:cs="Tahoma"/>
          <w:sz w:val="23"/>
          <w:szCs w:val="23"/>
          <w:highlight w:val="yellow"/>
        </w:rPr>
        <w:t>Nome</w:t>
      </w:r>
      <w:r>
        <w:rPr>
          <w:rFonts w:ascii="Tahoma" w:hAnsi="Tahoma" w:cs="Tahoma"/>
          <w:sz w:val="23"/>
          <w:szCs w:val="23"/>
        </w:rPr>
        <w:t>]</w:t>
      </w:r>
      <w:r w:rsidR="00077AFF" w:rsidRPr="00884418">
        <w:rPr>
          <w:rFonts w:ascii="Tahoma" w:hAnsi="Tahoma" w:cs="Tahoma"/>
          <w:sz w:val="23"/>
          <w:szCs w:val="23"/>
        </w:rPr>
        <w:t>, Auditor-Fiscal da Receita Federal</w:t>
      </w:r>
      <w:r>
        <w:rPr>
          <w:rFonts w:ascii="Tahoma" w:hAnsi="Tahoma" w:cs="Tahoma"/>
          <w:sz w:val="23"/>
          <w:szCs w:val="23"/>
        </w:rPr>
        <w:t xml:space="preserve"> do Brasil, Matrícula SIAPE n. [</w:t>
      </w:r>
      <w:r w:rsidRPr="006430E2">
        <w:rPr>
          <w:rFonts w:ascii="Tahoma" w:hAnsi="Tahoma" w:cs="Tahoma"/>
          <w:sz w:val="23"/>
          <w:szCs w:val="23"/>
          <w:highlight w:val="yellow"/>
        </w:rPr>
        <w:t>número da matrícula</w:t>
      </w:r>
      <w:r>
        <w:rPr>
          <w:rFonts w:ascii="Tahoma" w:hAnsi="Tahoma" w:cs="Tahoma"/>
          <w:sz w:val="23"/>
          <w:szCs w:val="23"/>
        </w:rPr>
        <w:t>], lotado na [</w:t>
      </w:r>
      <w:r w:rsidRPr="006430E2">
        <w:rPr>
          <w:rFonts w:ascii="Tahoma" w:hAnsi="Tahoma" w:cs="Tahoma"/>
          <w:sz w:val="23"/>
          <w:szCs w:val="23"/>
          <w:highlight w:val="yellow"/>
        </w:rPr>
        <w:t>unidade de lotação</w:t>
      </w:r>
      <w:r>
        <w:rPr>
          <w:rFonts w:ascii="Tahoma" w:hAnsi="Tahoma" w:cs="Tahoma"/>
          <w:sz w:val="23"/>
          <w:szCs w:val="23"/>
        </w:rPr>
        <w:t>]</w:t>
      </w:r>
      <w:r w:rsidR="00077AFF" w:rsidRPr="00884418">
        <w:rPr>
          <w:rFonts w:ascii="Tahoma" w:hAnsi="Tahoma" w:cs="Tahoma"/>
          <w:sz w:val="23"/>
          <w:szCs w:val="23"/>
        </w:rPr>
        <w:t xml:space="preserve">, com arrimo no art. 40, §4º, inciso III, da Constituição da República, </w:t>
      </w:r>
      <w:r w:rsidR="00884418">
        <w:rPr>
          <w:rFonts w:ascii="Tahoma" w:hAnsi="Tahoma" w:cs="Tahoma"/>
          <w:sz w:val="23"/>
          <w:szCs w:val="23"/>
        </w:rPr>
        <w:t xml:space="preserve">no </w:t>
      </w:r>
      <w:r w:rsidR="0053098D">
        <w:rPr>
          <w:rFonts w:ascii="Tahoma" w:hAnsi="Tahoma" w:cs="Tahoma"/>
          <w:sz w:val="23"/>
          <w:szCs w:val="23"/>
        </w:rPr>
        <w:t xml:space="preserve">art. 57, da Lei n. 8.213/91, </w:t>
      </w:r>
      <w:r w:rsidR="6B9A8FAF" w:rsidRPr="00884418">
        <w:rPr>
          <w:rFonts w:ascii="Tahoma" w:hAnsi="Tahoma" w:cs="Tahoma"/>
          <w:sz w:val="23"/>
          <w:szCs w:val="23"/>
        </w:rPr>
        <w:t>n</w:t>
      </w:r>
      <w:r w:rsidR="5CEA26A4" w:rsidRPr="00884418">
        <w:rPr>
          <w:rFonts w:ascii="Tahoma" w:hAnsi="Tahoma" w:cs="Tahoma"/>
          <w:sz w:val="23"/>
          <w:szCs w:val="23"/>
        </w:rPr>
        <w:t>a</w:t>
      </w:r>
      <w:r w:rsidR="6B9A8FAF" w:rsidRPr="00884418">
        <w:rPr>
          <w:rFonts w:ascii="Tahoma" w:hAnsi="Tahoma" w:cs="Tahoma"/>
          <w:sz w:val="23"/>
          <w:szCs w:val="23"/>
        </w:rPr>
        <w:t xml:space="preserve"> recente </w:t>
      </w:r>
      <w:r w:rsidR="1A89D02F" w:rsidRPr="00884418">
        <w:rPr>
          <w:rFonts w:ascii="Tahoma" w:hAnsi="Tahoma" w:cs="Tahoma"/>
          <w:sz w:val="23"/>
          <w:szCs w:val="23"/>
        </w:rPr>
        <w:t xml:space="preserve">tese </w:t>
      </w:r>
      <w:r w:rsidR="00077AFF" w:rsidRPr="00884418">
        <w:rPr>
          <w:rFonts w:ascii="Tahoma" w:hAnsi="Tahoma" w:cs="Tahoma"/>
          <w:sz w:val="23"/>
          <w:szCs w:val="23"/>
        </w:rPr>
        <w:t>firmada</w:t>
      </w:r>
      <w:r w:rsidR="00884418">
        <w:rPr>
          <w:rFonts w:ascii="Tahoma" w:hAnsi="Tahoma" w:cs="Tahoma"/>
          <w:sz w:val="23"/>
          <w:szCs w:val="23"/>
        </w:rPr>
        <w:t>,</w:t>
      </w:r>
      <w:r w:rsidR="00077AFF" w:rsidRPr="00884418">
        <w:rPr>
          <w:rFonts w:ascii="Tahoma" w:hAnsi="Tahoma" w:cs="Tahoma"/>
          <w:sz w:val="23"/>
          <w:szCs w:val="23"/>
        </w:rPr>
        <w:t xml:space="preserve"> em sede de repercussão geral</w:t>
      </w:r>
      <w:r w:rsidR="00884418">
        <w:rPr>
          <w:rFonts w:ascii="Tahoma" w:hAnsi="Tahoma" w:cs="Tahoma"/>
          <w:sz w:val="23"/>
          <w:szCs w:val="23"/>
        </w:rPr>
        <w:t>,</w:t>
      </w:r>
      <w:r w:rsidR="00077AFF" w:rsidRPr="00884418">
        <w:rPr>
          <w:rFonts w:ascii="Tahoma" w:hAnsi="Tahoma" w:cs="Tahoma"/>
          <w:sz w:val="23"/>
          <w:szCs w:val="23"/>
        </w:rPr>
        <w:t xml:space="preserve"> pelo Supremo Tribunal Federal</w:t>
      </w:r>
      <w:r w:rsidR="00884418">
        <w:rPr>
          <w:rFonts w:ascii="Tahoma" w:hAnsi="Tahoma" w:cs="Tahoma"/>
          <w:sz w:val="23"/>
          <w:szCs w:val="23"/>
        </w:rPr>
        <w:t>,</w:t>
      </w:r>
      <w:r w:rsidR="00077AFF" w:rsidRPr="00884418">
        <w:rPr>
          <w:rFonts w:ascii="Tahoma" w:hAnsi="Tahoma" w:cs="Tahoma"/>
          <w:sz w:val="23"/>
          <w:szCs w:val="23"/>
        </w:rPr>
        <w:t xml:space="preserve"> no</w:t>
      </w:r>
      <w:r w:rsidR="1A89D02F" w:rsidRPr="00884418">
        <w:rPr>
          <w:rFonts w:ascii="Tahoma" w:hAnsi="Tahoma" w:cs="Tahoma"/>
          <w:sz w:val="23"/>
          <w:szCs w:val="23"/>
        </w:rPr>
        <w:t xml:space="preserve"> </w:t>
      </w:r>
      <w:r w:rsidR="00077AFF" w:rsidRPr="00884418">
        <w:rPr>
          <w:rFonts w:ascii="Tahoma" w:hAnsi="Tahoma" w:cs="Tahoma"/>
          <w:sz w:val="23"/>
          <w:szCs w:val="23"/>
        </w:rPr>
        <w:t>julgamento do Tema n.</w:t>
      </w:r>
      <w:r w:rsidR="6B9A8FAF" w:rsidRPr="00884418">
        <w:rPr>
          <w:rFonts w:ascii="Tahoma" w:hAnsi="Tahoma" w:cs="Tahoma"/>
          <w:sz w:val="23"/>
          <w:szCs w:val="23"/>
        </w:rPr>
        <w:t xml:space="preserve"> 942,</w:t>
      </w:r>
      <w:r w:rsidR="0053098D">
        <w:rPr>
          <w:rFonts w:ascii="Tahoma" w:hAnsi="Tahoma" w:cs="Tahoma"/>
          <w:sz w:val="23"/>
          <w:szCs w:val="23"/>
        </w:rPr>
        <w:t xml:space="preserve"> bem como Despacho n.</w:t>
      </w:r>
      <w:r w:rsidR="0053098D" w:rsidRPr="0053098D">
        <w:rPr>
          <w:rFonts w:ascii="Tahoma" w:hAnsi="Tahoma" w:cs="Tahoma"/>
          <w:sz w:val="23"/>
          <w:szCs w:val="23"/>
        </w:rPr>
        <w:t xml:space="preserve"> 8</w:t>
      </w:r>
      <w:r w:rsidR="0053098D">
        <w:rPr>
          <w:rFonts w:ascii="Tahoma" w:hAnsi="Tahoma" w:cs="Tahoma"/>
          <w:sz w:val="23"/>
          <w:szCs w:val="23"/>
        </w:rPr>
        <w:t>46/2021/SPREV/SEPRT-ME</w:t>
      </w:r>
      <w:r w:rsidR="0053098D" w:rsidRPr="0053098D">
        <w:rPr>
          <w:rFonts w:ascii="Tahoma" w:hAnsi="Tahoma" w:cs="Tahoma"/>
          <w:sz w:val="23"/>
          <w:szCs w:val="23"/>
        </w:rPr>
        <w:t>, exarado pela</w:t>
      </w:r>
      <w:r w:rsidR="0053098D">
        <w:rPr>
          <w:rFonts w:ascii="Tahoma" w:hAnsi="Tahoma" w:cs="Tahoma"/>
          <w:sz w:val="23"/>
          <w:szCs w:val="23"/>
        </w:rPr>
        <w:t xml:space="preserve"> </w:t>
      </w:r>
      <w:r w:rsidR="0053098D" w:rsidRPr="0053098D">
        <w:rPr>
          <w:rFonts w:ascii="Tahoma" w:hAnsi="Tahoma" w:cs="Tahoma"/>
          <w:sz w:val="23"/>
          <w:szCs w:val="23"/>
        </w:rPr>
        <w:t>Secretaria de Previdência vinculada à Secretaria Especial de Previdência e</w:t>
      </w:r>
      <w:r w:rsidR="0053098D">
        <w:rPr>
          <w:rFonts w:ascii="Tahoma" w:hAnsi="Tahoma" w:cs="Tahoma"/>
          <w:sz w:val="23"/>
          <w:szCs w:val="23"/>
        </w:rPr>
        <w:t xml:space="preserve"> </w:t>
      </w:r>
      <w:r w:rsidR="0053098D" w:rsidRPr="0053098D">
        <w:rPr>
          <w:rFonts w:ascii="Tahoma" w:hAnsi="Tahoma" w:cs="Tahoma"/>
          <w:sz w:val="23"/>
          <w:szCs w:val="23"/>
        </w:rPr>
        <w:t>Trabalho do Ministério da Economia, que aprovou as Notas Técnic</w:t>
      </w:r>
      <w:r w:rsidR="0053098D">
        <w:rPr>
          <w:rFonts w:ascii="Tahoma" w:hAnsi="Tahoma" w:cs="Tahoma"/>
          <w:sz w:val="23"/>
          <w:szCs w:val="23"/>
        </w:rPr>
        <w:t xml:space="preserve">as SEI n. </w:t>
      </w:r>
      <w:r w:rsidR="0053098D" w:rsidRPr="0053098D">
        <w:rPr>
          <w:rFonts w:ascii="Tahoma" w:hAnsi="Tahoma" w:cs="Tahoma"/>
          <w:sz w:val="23"/>
          <w:szCs w:val="23"/>
        </w:rPr>
        <w:t xml:space="preserve">792/2021/ME </w:t>
      </w:r>
      <w:r w:rsidR="0053098D">
        <w:rPr>
          <w:rFonts w:ascii="Tahoma" w:hAnsi="Tahoma" w:cs="Tahoma"/>
          <w:sz w:val="23"/>
          <w:szCs w:val="23"/>
        </w:rPr>
        <w:t xml:space="preserve">e SEI n. 6178/2021/ME, </w:t>
      </w:r>
      <w:r w:rsidR="003657A7" w:rsidRPr="00884418">
        <w:rPr>
          <w:rFonts w:ascii="Tahoma" w:hAnsi="Tahoma" w:cs="Tahoma"/>
          <w:sz w:val="23"/>
          <w:szCs w:val="23"/>
        </w:rPr>
        <w:t>vem, respeitosamente, à presença de Vossa Senhoria</w:t>
      </w:r>
      <w:r w:rsidR="6B9A8FAF" w:rsidRPr="00884418">
        <w:rPr>
          <w:rFonts w:ascii="Tahoma" w:hAnsi="Tahoma" w:cs="Tahoma"/>
          <w:sz w:val="23"/>
          <w:szCs w:val="23"/>
        </w:rPr>
        <w:t xml:space="preserve"> </w:t>
      </w:r>
      <w:r w:rsidR="6B9A8FAF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apresenta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r</w:t>
      </w:r>
      <w:r w:rsidR="6B9A8FAF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6B9A8FAF"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>REQUERIMENTO</w:t>
      </w:r>
      <w:r w:rsidR="003657A7"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 xml:space="preserve"> ADMINISTRATIVO PARA</w:t>
      </w:r>
      <w:r w:rsidR="6B9A8FAF"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 xml:space="preserve"> CONVERSÃO DE TEMPO ESPECIAL EM TEMPO COMUM COM AVERBAÇÃO DO TEMPO CONVERTIDO</w:t>
      </w:r>
      <w:r w:rsidR="00435AB0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 xml:space="preserve"> PARA FINS PREVIDENCIÁRIOS</w:t>
      </w:r>
      <w:r w:rsidR="6B9A8FAF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pelos</w:t>
      </w:r>
      <w:r w:rsidR="6B9A8FAF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fatos e fundamentos jurídicos 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que seguem:</w:t>
      </w:r>
    </w:p>
    <w:p w14:paraId="136F1237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271A7BE8" w14:textId="77777777" w:rsidR="4276C6C4" w:rsidRPr="00884418" w:rsidRDefault="4276C6C4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u w:val="single"/>
        </w:rPr>
      </w:pPr>
      <w:r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>1</w:t>
      </w:r>
      <w:r w:rsidR="003657A7"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 xml:space="preserve"> - SÍNTESE FÁTICA</w:t>
      </w:r>
    </w:p>
    <w:p w14:paraId="3E104866" w14:textId="77777777" w:rsidR="1F1E4598" w:rsidRPr="00884418" w:rsidRDefault="1F1E4598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11B65816" w14:textId="77777777" w:rsidR="001A00F5" w:rsidRDefault="001A00F5" w:rsidP="001A00F5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O Requerente ingressou no cargo de Auditor-Fiscal da Receita do Brasil em </w:t>
      </w:r>
      <w:r w:rsidRPr="001A00F5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XX/XX/XX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>, e durante alguns períodos de sua atividade no cargo esteve submetido ao labor sob condições prejudiciais à saúde e/ou à integridade física, conforme se observa em seus assentamentos funcionais, veja-se:</w:t>
      </w:r>
    </w:p>
    <w:p w14:paraId="1B5DEE1B" w14:textId="77777777" w:rsidR="001A00F5" w:rsidRDefault="001A00F5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7D84386E" w14:textId="77777777" w:rsidR="001A00F5" w:rsidRDefault="001A00F5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1A00F5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[No quadro abaixo o Requerente deverá indicar os períodos, com as respectivas informações da localidade de exercício, período de lotação, identificar o laudo pericial da unidade correspondente ao período a ser convertido, identificar o agente nocivo atestado no laudo e a quantidade de dias trabalho sob exposição ao agente nocivo</w:t>
      </w:r>
      <w:r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. Se o Requerente tiver laborado sob condições especiais em localidades e períodos distintos, replicar o quadro</w:t>
      </w:r>
      <w:r w:rsidRPr="001A00F5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]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</w:p>
    <w:p w14:paraId="5475BDC2" w14:textId="77777777" w:rsidR="001A00F5" w:rsidRDefault="001A00F5" w:rsidP="001A00F5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070"/>
        <w:gridCol w:w="3070"/>
        <w:gridCol w:w="3466"/>
      </w:tblGrid>
      <w:tr w:rsidR="001A00F5" w14:paraId="4947DFBB" w14:textId="77777777" w:rsidTr="001A00F5">
        <w:tc>
          <w:tcPr>
            <w:tcW w:w="3070" w:type="dxa"/>
          </w:tcPr>
          <w:p w14:paraId="43FDA799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t>Cargo:</w:t>
            </w:r>
          </w:p>
        </w:tc>
        <w:tc>
          <w:tcPr>
            <w:tcW w:w="3070" w:type="dxa"/>
          </w:tcPr>
          <w:p w14:paraId="7513768A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t>Exercício:</w:t>
            </w:r>
          </w:p>
        </w:tc>
        <w:tc>
          <w:tcPr>
            <w:tcW w:w="3466" w:type="dxa"/>
          </w:tcPr>
          <w:p w14:paraId="06B783CC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t>Período:</w:t>
            </w:r>
          </w:p>
        </w:tc>
      </w:tr>
      <w:tr w:rsidR="001A00F5" w14:paraId="61E314A8" w14:textId="77777777" w:rsidTr="001A00F5">
        <w:tc>
          <w:tcPr>
            <w:tcW w:w="3070" w:type="dxa"/>
          </w:tcPr>
          <w:p w14:paraId="655EF2BB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t>Laudo Técnico Pericial:</w:t>
            </w:r>
          </w:p>
        </w:tc>
        <w:tc>
          <w:tcPr>
            <w:tcW w:w="3070" w:type="dxa"/>
          </w:tcPr>
          <w:p w14:paraId="0692DC0F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t>Agente(s) Nocivo(s):</w:t>
            </w:r>
          </w:p>
        </w:tc>
        <w:tc>
          <w:tcPr>
            <w:tcW w:w="3466" w:type="dxa"/>
          </w:tcPr>
          <w:p w14:paraId="4B10E30C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t xml:space="preserve">Recebia adicional ocupacional: </w:t>
            </w:r>
          </w:p>
        </w:tc>
      </w:tr>
      <w:tr w:rsidR="001A00F5" w14:paraId="0A66F963" w14:textId="77777777" w:rsidTr="00C74E42">
        <w:tc>
          <w:tcPr>
            <w:tcW w:w="9606" w:type="dxa"/>
            <w:gridSpan w:val="3"/>
          </w:tcPr>
          <w:p w14:paraId="5F9C4DF1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lastRenderedPageBreak/>
              <w:t>Número de dias:</w:t>
            </w:r>
          </w:p>
        </w:tc>
      </w:tr>
    </w:tbl>
    <w:p w14:paraId="2B79EE7C" w14:textId="77777777" w:rsidR="001A00F5" w:rsidRDefault="001A00F5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7FBEC244" w14:textId="77777777" w:rsidR="003657A7" w:rsidRPr="00884418" w:rsidRDefault="001A00F5" w:rsidP="0027563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>A partir das informações acima, infere-se que o Requerente</w:t>
      </w:r>
      <w:r w:rsidR="204F4B1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laborou 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="003657A7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tempo de serviço</w:t>
      </w:r>
      <w:r w:rsidR="006430E2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 xml:space="preserve"> em </w:t>
      </w:r>
      <w:r w:rsidR="006430E2" w:rsidRPr="0053098D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dias</w:t>
      </w:r>
      <w:r w:rsidR="0053098D" w:rsidRPr="0053098D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 xml:space="preserve"> sob condições especiais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dias em atividade sob condições especiais, na forma exigida pela legislação previdenciária aplicável à espécie, </w:t>
      </w:r>
      <w:r w:rsidR="00435AB0">
        <w:rPr>
          <w:rFonts w:ascii="Tahoma" w:eastAsia="Times New Roman" w:hAnsi="Tahoma" w:cs="Tahoma"/>
          <w:color w:val="000000" w:themeColor="text1"/>
          <w:sz w:val="23"/>
          <w:szCs w:val="23"/>
        </w:rPr>
        <w:t>porquanto</w:t>
      </w:r>
      <w:r w:rsidR="00435AB0" w:rsidRPr="00435AB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exposto a fatores de riscos </w:t>
      </w:r>
      <w:r w:rsidR="00435AB0">
        <w:rPr>
          <w:rFonts w:ascii="Tahoma" w:eastAsia="Times New Roman" w:hAnsi="Tahoma" w:cs="Tahoma"/>
          <w:color w:val="000000" w:themeColor="text1"/>
          <w:sz w:val="23"/>
          <w:szCs w:val="23"/>
        </w:rPr>
        <w:t>que caracterizam a especialidade do</w:t>
      </w:r>
      <w:r w:rsidR="00435AB0" w:rsidRPr="00435AB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00435AB0" w:rsidRPr="00435AB0">
        <w:rPr>
          <w:rFonts w:ascii="Tahoma" w:hAnsi="Tahoma" w:cs="Tahoma"/>
          <w:sz w:val="23"/>
          <w:szCs w:val="23"/>
        </w:rPr>
        <w:t>tempo</w:t>
      </w:r>
      <w:r w:rsidR="00435AB0">
        <w:rPr>
          <w:rFonts w:ascii="Tahoma" w:hAnsi="Tahoma" w:cs="Tahoma"/>
          <w:sz w:val="23"/>
          <w:szCs w:val="23"/>
        </w:rPr>
        <w:t xml:space="preserve"> de serviço</w:t>
      </w:r>
      <w:r w:rsidR="00435AB0" w:rsidRPr="00435AB0">
        <w:rPr>
          <w:rFonts w:ascii="Tahoma" w:eastAsia="Times New Roman" w:hAnsi="Tahoma" w:cs="Tahoma"/>
          <w:color w:val="000000" w:themeColor="text1"/>
          <w:sz w:val="23"/>
          <w:szCs w:val="23"/>
        </w:rPr>
        <w:t>,</w:t>
      </w:r>
      <w:r w:rsidR="00435AB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>consoante prova(m)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o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(s)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laudo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(s)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técnico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(s)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pericial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(</w:t>
      </w:r>
      <w:proofErr w:type="spellStart"/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is</w:t>
      </w:r>
      <w:proofErr w:type="spellEnd"/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)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anexo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(s)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, no exercício de suas funções no cargo de Auditor-Fiscal da Receita Federal do Brasil.</w:t>
      </w:r>
    </w:p>
    <w:p w14:paraId="542FA5E2" w14:textId="77777777" w:rsidR="003657A7" w:rsidRPr="00884418" w:rsidRDefault="003657A7" w:rsidP="0027563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42FBC09E" w14:textId="77777777" w:rsidR="204F4B12" w:rsidRPr="0053098D" w:rsidRDefault="00884418" w:rsidP="0053098D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>Afere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m-se [</w:t>
      </w:r>
      <w:r w:rsidR="006430E2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quantidade de dias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dias trabalhados sob condições especiais</w:t>
      </w:r>
      <w:r w:rsidR="204F4B1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o que equivale a 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="006430E2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quantidade de dias após a conversão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  <w:r w:rsidR="204F4B1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dias de tempo convertido</w:t>
      </w:r>
      <w:r w:rsidR="0F23EA61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de acordo com o multiplicador correspondente</w:t>
      </w:r>
      <w:r w:rsidR="00E6677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disposto no </w:t>
      </w:r>
      <w:r w:rsidR="0053098D" w:rsidRPr="0053098D">
        <w:rPr>
          <w:rFonts w:ascii="Tahoma" w:eastAsia="Times New Roman" w:hAnsi="Tahoma" w:cs="Tahoma"/>
          <w:color w:val="000000" w:themeColor="text1"/>
          <w:sz w:val="23"/>
          <w:szCs w:val="23"/>
        </w:rPr>
        <w:t>art. 70 do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0053098D" w:rsidRPr="0053098D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Regulamento da Previdência </w:t>
      </w:r>
      <w:r w:rsidR="0012445E">
        <w:rPr>
          <w:rFonts w:ascii="Tahoma" w:eastAsia="Times New Roman" w:hAnsi="Tahoma" w:cs="Tahoma"/>
          <w:color w:val="000000" w:themeColor="text1"/>
          <w:sz w:val="23"/>
          <w:szCs w:val="23"/>
        </w:rPr>
        <w:t>Social, aprovado pelo Decreto n. 3.048</w:t>
      </w:r>
      <w:r w:rsidR="0053098D" w:rsidRPr="0053098D">
        <w:rPr>
          <w:rFonts w:ascii="Tahoma" w:eastAsia="Times New Roman" w:hAnsi="Tahoma" w:cs="Tahoma"/>
          <w:color w:val="000000" w:themeColor="text1"/>
          <w:sz w:val="23"/>
          <w:szCs w:val="23"/>
        </w:rPr>
        <w:t>/1999, reproduzida no § 5º do art. 188-P do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0053098D" w:rsidRPr="0053098D">
        <w:rPr>
          <w:rFonts w:ascii="Tahoma" w:eastAsia="Times New Roman" w:hAnsi="Tahoma" w:cs="Tahoma"/>
          <w:color w:val="000000" w:themeColor="text1"/>
          <w:sz w:val="23"/>
          <w:szCs w:val="23"/>
        </w:rPr>
        <w:t>mesmo Regulamento,</w:t>
      </w:r>
      <w:r w:rsidR="0012445E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na redação dada pelo Decreto n. 10.410/</w:t>
      </w:r>
      <w:r w:rsidR="0053098D" w:rsidRPr="0053098D">
        <w:rPr>
          <w:rFonts w:ascii="Tahoma" w:eastAsia="Times New Roman" w:hAnsi="Tahoma" w:cs="Tahoma"/>
          <w:color w:val="000000" w:themeColor="text1"/>
          <w:sz w:val="23"/>
          <w:szCs w:val="23"/>
        </w:rPr>
        <w:t>2020</w:t>
      </w:r>
      <w:r w:rsidR="00E6677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</w:t>
      </w:r>
      <w:r w:rsidR="204F4B1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devendo </w:t>
      </w:r>
      <w:r w:rsidR="0012445E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 informação </w:t>
      </w:r>
      <w:r w:rsidR="204F4B1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s</w:t>
      </w:r>
      <w:r w:rsidR="0012445E">
        <w:rPr>
          <w:rFonts w:ascii="Tahoma" w:eastAsia="Times New Roman" w:hAnsi="Tahoma" w:cs="Tahoma"/>
          <w:color w:val="000000" w:themeColor="text1"/>
          <w:sz w:val="23"/>
          <w:szCs w:val="23"/>
        </w:rPr>
        <w:t>er anotada em sua Certidão de T</w:t>
      </w:r>
      <w:r w:rsidR="204F4B1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empo d</w:t>
      </w:r>
      <w:r w:rsidR="0012445E">
        <w:rPr>
          <w:rFonts w:ascii="Tahoma" w:eastAsia="Times New Roman" w:hAnsi="Tahoma" w:cs="Tahoma"/>
          <w:color w:val="000000" w:themeColor="text1"/>
          <w:sz w:val="23"/>
          <w:szCs w:val="23"/>
        </w:rPr>
        <w:t>e Contribuição (CTC)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para fins de contagem </w:t>
      </w:r>
      <w:r w:rsidR="0012445E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diferenciada 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de tempo de serviço/contribuição.</w:t>
      </w:r>
    </w:p>
    <w:p w14:paraId="4F194E5B" w14:textId="77777777" w:rsidR="1F1E4598" w:rsidRPr="00884418" w:rsidRDefault="1F1E4598" w:rsidP="0012445E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18DFD48C" w14:textId="77777777" w:rsidR="6F924869" w:rsidRPr="00884418" w:rsidRDefault="6F924869" w:rsidP="00275638">
      <w:pPr>
        <w:spacing w:after="0"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Nesse sentido, considerando que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, no(s) período(s) indicado(s),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001A00F5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as atividades 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desenvolvidas pelo Requerente impunham-lhe riscos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à 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saúde e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>/ou à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integridade física, deve o tempo de serviço ser considerado como especial, para fins de posterior conversão em tempo comum e ave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rbação para fins previdenciários, 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consentânea a tese firma pelo Supremo Tribunal Federal </w:t>
      </w:r>
      <w:r w:rsidR="001A00F5" w:rsidRPr="001A00F5">
        <w:rPr>
          <w:rFonts w:ascii="Tahoma" w:eastAsia="Times New Roman" w:hAnsi="Tahoma" w:cs="Tahoma"/>
          <w:color w:val="000000" w:themeColor="text1"/>
          <w:sz w:val="23"/>
          <w:szCs w:val="23"/>
        </w:rPr>
        <w:t>por ocasião do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julgamento do RE n.</w:t>
      </w:r>
      <w:r w:rsidR="001A00F5" w:rsidRP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10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14286, representativo do Tema n.</w:t>
      </w:r>
      <w:r w:rsidR="001A00F5" w:rsidRP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942 da Repercussão Geral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.</w:t>
      </w:r>
    </w:p>
    <w:p w14:paraId="5DE9D061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6DEC0B0D" w14:textId="77777777" w:rsidR="3A5118ED" w:rsidRPr="00884418" w:rsidRDefault="3A5118ED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>2</w:t>
      </w:r>
      <w:r w:rsidR="0027563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 xml:space="preserve"> - FUNDAMENTOS JURÍDICOS</w:t>
      </w:r>
    </w:p>
    <w:p w14:paraId="1370EE8E" w14:textId="77777777" w:rsidR="001A00F5" w:rsidRPr="00884418" w:rsidRDefault="001A00F5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6E7C88BD" w14:textId="77777777" w:rsidR="1F463672" w:rsidRPr="00884418" w:rsidRDefault="0053098D" w:rsidP="0027563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Na 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>redação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anterior à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Emenda Constitucional n.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>103/</w:t>
      </w:r>
      <w:r w:rsidR="52E116EE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2019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, o artigo 40, § 4º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inciso III, da Constituição Federal dispunha 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sobre 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 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aposentadoria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especial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por trabalho em atividade</w:t>
      </w:r>
      <w:r w:rsidR="5D52921B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s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5D52921B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exercidas com efetiva exposição a agentes químicos, físicos e biológicos prejudiciais à saúde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e/ou à integridade física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>veja-se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:</w:t>
      </w:r>
    </w:p>
    <w:p w14:paraId="3A969B9E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EDCD809" w14:textId="77777777" w:rsidR="005115F2" w:rsidRDefault="005115F2" w:rsidP="005115F2">
      <w:pPr>
        <w:spacing w:after="0" w:line="240" w:lineRule="auto"/>
        <w:ind w:left="2268"/>
        <w:contextualSpacing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115F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Art. 40. Aos servidores titulares de cargos efetivos da União, dos Estados, do Distrito Federal e dos Municípios, incluídas suas autarquias e fundações, é </w:t>
      </w:r>
      <w:r w:rsidRPr="005115F2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assegurado regime de previdência de caráter contributivo e solidário, mediante contribuição do respectivo ente público, dos servidores ativos e inativos e dos pensionistas, observados critérios que preservem o equilíbrio financeiro e atuarial e o disposto neste artigo.         </w:t>
      </w:r>
    </w:p>
    <w:p w14:paraId="3958B0BB" w14:textId="77777777" w:rsidR="0DD99214" w:rsidRPr="005115F2" w:rsidRDefault="005D0169" w:rsidP="005115F2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5115F2">
        <w:rPr>
          <w:rFonts w:ascii="Tahoma" w:eastAsia="Times New Roman" w:hAnsi="Tahoma" w:cs="Tahoma"/>
          <w:color w:val="000000" w:themeColor="text1"/>
          <w:sz w:val="20"/>
          <w:szCs w:val="20"/>
        </w:rPr>
        <w:t>[</w:t>
      </w:r>
      <w:r w:rsidR="0DD99214" w:rsidRPr="005115F2">
        <w:rPr>
          <w:rFonts w:ascii="Tahoma" w:eastAsia="Times New Roman" w:hAnsi="Tahoma" w:cs="Tahoma"/>
          <w:color w:val="000000" w:themeColor="text1"/>
          <w:sz w:val="20"/>
          <w:szCs w:val="20"/>
        </w:rPr>
        <w:t>..</w:t>
      </w:r>
      <w:r w:rsidRPr="005115F2">
        <w:rPr>
          <w:rFonts w:ascii="Tahoma" w:eastAsia="Times New Roman" w:hAnsi="Tahoma" w:cs="Tahoma"/>
          <w:color w:val="000000" w:themeColor="text1"/>
          <w:sz w:val="20"/>
          <w:szCs w:val="20"/>
        </w:rPr>
        <w:t>.]</w:t>
      </w:r>
    </w:p>
    <w:p w14:paraId="1A80B926" w14:textId="77777777" w:rsidR="005115F2" w:rsidRPr="005115F2" w:rsidRDefault="005115F2" w:rsidP="005115F2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574B97A8" w14:textId="77777777" w:rsidR="005115F2" w:rsidRDefault="005115F2" w:rsidP="005115F2">
      <w:pPr>
        <w:pStyle w:val="NormalWeb"/>
        <w:shd w:val="clear" w:color="auto" w:fill="FFFFFF"/>
        <w:spacing w:before="0" w:beforeAutospacing="0" w:after="0" w:afterAutospacing="0"/>
        <w:ind w:left="2268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115F2">
        <w:rPr>
          <w:rFonts w:ascii="Tahoma" w:hAnsi="Tahoma" w:cs="Tahoma"/>
          <w:color w:val="000000"/>
          <w:sz w:val="20"/>
          <w:szCs w:val="20"/>
        </w:rPr>
        <w:t>§ 4º É vedada a adoção de requisitos e critérios diferenciados para a concessão de aposentadoria aos abrangidos pelo regime de que trata este artigo, ressalvados, nos termos definidos em leis complementares, os casos de servidores:</w:t>
      </w:r>
    </w:p>
    <w:p w14:paraId="0A05F25C" w14:textId="77777777" w:rsidR="005115F2" w:rsidRDefault="005115F2" w:rsidP="005115F2">
      <w:pPr>
        <w:pStyle w:val="NormalWeb"/>
        <w:shd w:val="clear" w:color="auto" w:fill="FFFFFF"/>
        <w:spacing w:before="0" w:beforeAutospacing="0" w:after="0" w:afterAutospacing="0"/>
        <w:ind w:left="2268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115F2">
        <w:rPr>
          <w:rFonts w:ascii="Tahoma" w:hAnsi="Tahoma" w:cs="Tahoma"/>
          <w:color w:val="000000"/>
          <w:sz w:val="20"/>
          <w:szCs w:val="20"/>
        </w:rPr>
        <w:t>[...]</w:t>
      </w:r>
      <w:bookmarkStart w:id="0" w:name="art40§4i"/>
      <w:bookmarkStart w:id="1" w:name="art40§4iii"/>
      <w:bookmarkEnd w:id="0"/>
      <w:bookmarkEnd w:id="1"/>
    </w:p>
    <w:p w14:paraId="212F5D3C" w14:textId="77777777" w:rsidR="005115F2" w:rsidRPr="005115F2" w:rsidRDefault="005115F2" w:rsidP="005115F2">
      <w:pPr>
        <w:pStyle w:val="NormalWeb"/>
        <w:shd w:val="clear" w:color="auto" w:fill="FFFFFF"/>
        <w:spacing w:before="0" w:beforeAutospacing="0" w:after="0" w:afterAutospacing="0"/>
        <w:ind w:left="2268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14:paraId="311887E9" w14:textId="77777777" w:rsidR="005115F2" w:rsidRPr="005115F2" w:rsidRDefault="005115F2" w:rsidP="005115F2">
      <w:pPr>
        <w:pStyle w:val="NormalWeb"/>
        <w:shd w:val="clear" w:color="auto" w:fill="FFFFFF"/>
        <w:spacing w:before="0" w:beforeAutospacing="0" w:after="0" w:afterAutospacing="0"/>
        <w:ind w:left="2268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115F2">
        <w:rPr>
          <w:rFonts w:ascii="Tahoma" w:hAnsi="Tahoma" w:cs="Tahoma"/>
          <w:color w:val="000000"/>
          <w:sz w:val="20"/>
          <w:szCs w:val="20"/>
        </w:rPr>
        <w:t>III cujas</w:t>
      </w:r>
      <w:r w:rsidR="0012445E">
        <w:rPr>
          <w:rFonts w:ascii="Tahoma" w:hAnsi="Tahoma" w:cs="Tahoma"/>
          <w:color w:val="000000"/>
          <w:sz w:val="20"/>
          <w:szCs w:val="20"/>
        </w:rPr>
        <w:t xml:space="preserve"> atividades sejam exercidas sob </w:t>
      </w:r>
      <w:r w:rsidRPr="005115F2">
        <w:rPr>
          <w:rFonts w:ascii="Tahoma" w:hAnsi="Tahoma" w:cs="Tahoma"/>
          <w:color w:val="000000"/>
          <w:sz w:val="20"/>
          <w:szCs w:val="20"/>
        </w:rPr>
        <w:t>condições especiais que prejudiquem a saúde ou a integridade física.</w:t>
      </w:r>
    </w:p>
    <w:p w14:paraId="1522C991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729B83EF" w14:textId="77777777" w:rsidR="1F463672" w:rsidRPr="00884418" w:rsidRDefault="1F463672" w:rsidP="0027563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Note-se que a Constituição</w:t>
      </w:r>
      <w:r w:rsidR="001F5C2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Federal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vedou a “adoção de requisitos e critérios diferenciados para a concessão de aposentadoria aos abrangidos” pelo Regime Próprio de Previdência Social, 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excepcionando-se </w:t>
      </w:r>
      <w:r w:rsidR="001F5C2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algumas situações, dentro </w:t>
      </w:r>
      <w:r w:rsidR="00BD7B40">
        <w:rPr>
          <w:rFonts w:ascii="Tahoma" w:eastAsia="Times New Roman" w:hAnsi="Tahoma" w:cs="Tahoma"/>
          <w:color w:val="000000" w:themeColor="text1"/>
          <w:sz w:val="23"/>
          <w:szCs w:val="23"/>
        </w:rPr>
        <w:t>ela</w:t>
      </w:r>
      <w:r w:rsidR="001F5C2F">
        <w:rPr>
          <w:rFonts w:ascii="Tahoma" w:eastAsia="Times New Roman" w:hAnsi="Tahoma" w:cs="Tahoma"/>
          <w:color w:val="000000" w:themeColor="text1"/>
          <w:sz w:val="23"/>
          <w:szCs w:val="23"/>
        </w:rPr>
        <w:t>s, aquela prevista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no</w:t>
      </w:r>
      <w:r w:rsidR="001F5C2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art. 40, § 4º, inciso III.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</w:p>
    <w:p w14:paraId="532153DF" w14:textId="77777777" w:rsidR="1F1E4598" w:rsidRPr="00884418" w:rsidRDefault="1F1E4598" w:rsidP="0027563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409B6927" w14:textId="77777777" w:rsidR="1F463672" w:rsidRDefault="0012445E" w:rsidP="0027563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Entretanto, citado 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dispositivo constitucional, 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em sua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redação original, 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perambulou sem regulamentação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situação</w:t>
      </w:r>
      <w:r w:rsidR="2837EFB4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que </w:t>
      </w:r>
      <w:r w:rsidR="001F5C2F">
        <w:rPr>
          <w:rFonts w:ascii="Tahoma" w:eastAsia="Times New Roman" w:hAnsi="Tahoma" w:cs="Tahoma"/>
          <w:color w:val="000000" w:themeColor="text1"/>
          <w:sz w:val="23"/>
          <w:szCs w:val="23"/>
        </w:rPr>
        <w:t>impôs</w:t>
      </w:r>
      <w:r w:rsidR="2837EFB4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entraves a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o exercício do direito à aposentadoria especial, e suas consequências, como a conversão do tempo 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>especial em tempo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comum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>, por meio de contagem diferenciada,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aos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servidores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públicos federais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que 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>exerceram suas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atividades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funcionais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sob con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>dições especiais</w:t>
      </w:r>
      <w:r w:rsidR="001F5C2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de risco à saúde e/ou à integridade física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.</w:t>
      </w:r>
    </w:p>
    <w:p w14:paraId="251DE086" w14:textId="77777777" w:rsidR="001A00F5" w:rsidRDefault="001A00F5" w:rsidP="007E6EC4">
      <w:pPr>
        <w:spacing w:after="0" w:line="360" w:lineRule="auto"/>
        <w:contextualSpacing/>
        <w:jc w:val="both"/>
        <w:rPr>
          <w:rFonts w:ascii="Tahoma" w:eastAsia="Times New Roman" w:hAnsi="Tahoma" w:cs="Tahoma"/>
          <w:bCs/>
          <w:color w:val="000000" w:themeColor="text1"/>
          <w:sz w:val="23"/>
          <w:szCs w:val="23"/>
        </w:rPr>
      </w:pPr>
    </w:p>
    <w:p w14:paraId="063B48FA" w14:textId="77777777" w:rsidR="001A00F5" w:rsidRDefault="001A00F5" w:rsidP="007E6EC4">
      <w:pPr>
        <w:spacing w:afterLines="120" w:after="288" w:line="360" w:lineRule="auto"/>
        <w:ind w:firstLine="1134"/>
        <w:contextualSpacing/>
        <w:rPr>
          <w:rFonts w:ascii="Tahoma" w:hAnsi="Tahoma" w:cs="Tahoma"/>
          <w:bCs/>
          <w:sz w:val="23"/>
          <w:szCs w:val="23"/>
          <w:lang w:eastAsia="zh-CN"/>
        </w:rPr>
      </w:pPr>
      <w:r>
        <w:rPr>
          <w:rFonts w:ascii="Tahoma" w:hAnsi="Tahoma" w:cs="Tahoma"/>
          <w:bCs/>
          <w:sz w:val="23"/>
          <w:szCs w:val="23"/>
          <w:lang w:eastAsia="zh-CN"/>
        </w:rPr>
        <w:t>Adiante, a Corte Constitucional, dada a recorrência e relevância da matéria, editou a Súmula Vinculante n. 33, no seguinte sentido:</w:t>
      </w:r>
    </w:p>
    <w:p w14:paraId="2B6B5F8F" w14:textId="77777777" w:rsidR="001A00F5" w:rsidRPr="00602265" w:rsidRDefault="001A00F5" w:rsidP="001A00F5">
      <w:pPr>
        <w:pStyle w:val="NormalWeb"/>
        <w:spacing w:before="0" w:beforeAutospacing="0" w:after="0" w:afterAutospacing="0"/>
        <w:ind w:left="2268"/>
        <w:jc w:val="both"/>
        <w:textAlignment w:val="top"/>
        <w:rPr>
          <w:rFonts w:ascii="Tahoma" w:hAnsi="Tahoma" w:cs="Tahoma"/>
          <w:b/>
          <w:sz w:val="20"/>
          <w:szCs w:val="20"/>
          <w:lang w:eastAsia="zh-CN"/>
        </w:rPr>
      </w:pPr>
      <w:r w:rsidRPr="00602265">
        <w:rPr>
          <w:rFonts w:ascii="Tahoma" w:hAnsi="Tahoma" w:cs="Tahoma"/>
          <w:b/>
          <w:sz w:val="20"/>
          <w:szCs w:val="20"/>
          <w:lang w:eastAsia="zh-CN"/>
        </w:rPr>
        <w:t>Súmula Vinculante 33</w:t>
      </w:r>
    </w:p>
    <w:p w14:paraId="513DC864" w14:textId="77777777" w:rsidR="001A00F5" w:rsidRPr="00B72714" w:rsidRDefault="001A00F5" w:rsidP="001A00F5">
      <w:pPr>
        <w:pStyle w:val="NormalWeb"/>
        <w:spacing w:before="0" w:beforeAutospacing="0" w:after="0" w:afterAutospacing="0"/>
        <w:ind w:left="2268"/>
        <w:jc w:val="both"/>
        <w:textAlignment w:val="top"/>
        <w:rPr>
          <w:rFonts w:ascii="Tahoma" w:hAnsi="Tahoma" w:cs="Tahoma"/>
          <w:bCs/>
          <w:sz w:val="20"/>
          <w:szCs w:val="20"/>
          <w:lang w:eastAsia="zh-CN"/>
        </w:rPr>
      </w:pPr>
      <w:r w:rsidRPr="00B72714">
        <w:rPr>
          <w:rFonts w:ascii="Tahoma" w:hAnsi="Tahoma" w:cs="Tahoma"/>
          <w:bCs/>
          <w:sz w:val="20"/>
          <w:szCs w:val="20"/>
          <w:lang w:eastAsia="zh-CN"/>
        </w:rPr>
        <w:t>Aplicam-se ao servidor público, no que couber, as regras do regime geral da previdência social sobre aposentadoria especial de que trata o artigo 40, § 4º, inciso III da Constituição Federal, até a edição de lei complementar específica.</w:t>
      </w:r>
    </w:p>
    <w:p w14:paraId="4A3D7D31" w14:textId="77777777" w:rsidR="001A00F5" w:rsidRDefault="001A00F5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3F8AAFA" w14:textId="77777777" w:rsidR="001A00F5" w:rsidRDefault="001A00F5" w:rsidP="001A00F5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>E, recentemente, o STF fixou, sob o regime da repercussão geral, a seguinte tese:</w:t>
      </w:r>
    </w:p>
    <w:p w14:paraId="65C3FB0E" w14:textId="77777777" w:rsidR="001A00F5" w:rsidRDefault="001A00F5" w:rsidP="001A00F5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2A8337CE" w14:textId="77777777" w:rsidR="001A00F5" w:rsidRPr="001A00F5" w:rsidRDefault="001A00F5" w:rsidP="001A00F5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1A00F5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Até a edição da Emenda Constitucional nº 103/2019, o direito à conversão, em tempo comum, do prestado sob condições especiais que prejudiquem a saúde ou a integridade física de servidor público decorre da previsão de adoção de requisitos e critérios diferenciados para a jubilação daquele </w:t>
      </w:r>
      <w:r w:rsidRPr="001A00F5">
        <w:rPr>
          <w:rFonts w:ascii="Tahoma" w:eastAsia="Times New Roman" w:hAnsi="Tahoma" w:cs="Tahoma"/>
          <w:color w:val="000000" w:themeColor="text1"/>
          <w:sz w:val="20"/>
          <w:szCs w:val="20"/>
        </w:rPr>
        <w:lastRenderedPageBreak/>
        <w:t>enquadrado na hipótese prevista no então vigente inciso III do § 4º do art. 40 da Constituição da República, devendo ser aplicadas as normas do regime geral de previdência social relativas à aposentadoria especial contidas na Lei 8.213/1991 para viabilizar sua concretização enquanto não sobrevier lei complementar disciplinadora da matéria. Após a vigência da EC n.º 103/2019, o direito à conversão em tempo comum, do prestado sob condições especiais pelos servidores obedecerá à legislação complementar dos entes federados, nos termos da competência conferida pelo art. 40, § 4º-C, da Constituição da República.</w:t>
      </w:r>
    </w:p>
    <w:p w14:paraId="0700AD03" w14:textId="77777777" w:rsidR="1F1E4598" w:rsidRPr="00884418" w:rsidRDefault="1F1E4598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FF9F108" w14:textId="77777777" w:rsidR="1F1E4598" w:rsidRPr="003662BC" w:rsidRDefault="001A00F5" w:rsidP="007E6EC4">
      <w:pPr>
        <w:pStyle w:val="Ttulo3"/>
        <w:spacing w:before="0" w:line="360" w:lineRule="auto"/>
        <w:ind w:firstLine="1134"/>
        <w:contextualSpacing/>
        <w:jc w:val="both"/>
        <w:rPr>
          <w:rFonts w:ascii="Tahoma" w:eastAsia="Times New Roman" w:hAnsi="Tahoma" w:cs="Tahoma"/>
          <w:strike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>Portanto, e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ste requerimento, sobretudo, fundamenta-se no </w:t>
      </w:r>
      <w:r w:rsidR="5232768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r</w:t>
      </w:r>
      <w:r w:rsidR="59587739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ecentemente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59587739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julga</w:t>
      </w:r>
      <w:r w:rsidR="0229719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mento do</w:t>
      </w:r>
      <w:r w:rsidR="59587739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Recurso Extraordinário n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. </w:t>
      </w:r>
      <w:r w:rsidR="787D2217" w:rsidRPr="00884418">
        <w:rPr>
          <w:rFonts w:ascii="Tahoma" w:eastAsia="Times New Roman" w:hAnsi="Tahoma" w:cs="Tahoma"/>
          <w:color w:val="auto"/>
          <w:sz w:val="23"/>
          <w:szCs w:val="23"/>
        </w:rPr>
        <w:t>1</w:t>
      </w:r>
      <w:r w:rsidR="2CFED870" w:rsidRPr="00884418">
        <w:rPr>
          <w:rFonts w:ascii="Tahoma" w:eastAsia="Times New Roman" w:hAnsi="Tahoma" w:cs="Tahoma"/>
          <w:color w:val="auto"/>
          <w:sz w:val="23"/>
          <w:szCs w:val="23"/>
        </w:rPr>
        <w:t>.</w:t>
      </w:r>
      <w:r w:rsidR="787D2217" w:rsidRPr="00884418">
        <w:rPr>
          <w:rFonts w:ascii="Tahoma" w:eastAsia="Times New Roman" w:hAnsi="Tahoma" w:cs="Tahoma"/>
          <w:color w:val="auto"/>
          <w:sz w:val="23"/>
          <w:szCs w:val="23"/>
        </w:rPr>
        <w:t>014</w:t>
      </w:r>
      <w:r w:rsidR="0E57BA65" w:rsidRPr="00884418">
        <w:rPr>
          <w:rFonts w:ascii="Tahoma" w:eastAsia="Times New Roman" w:hAnsi="Tahoma" w:cs="Tahoma"/>
          <w:color w:val="auto"/>
          <w:sz w:val="23"/>
          <w:szCs w:val="23"/>
        </w:rPr>
        <w:t>.</w:t>
      </w:r>
      <w:r w:rsidR="787D2217" w:rsidRPr="00884418">
        <w:rPr>
          <w:rFonts w:ascii="Tahoma" w:eastAsia="Times New Roman" w:hAnsi="Tahoma" w:cs="Tahoma"/>
          <w:color w:val="auto"/>
          <w:sz w:val="23"/>
          <w:szCs w:val="23"/>
        </w:rPr>
        <w:t>286</w:t>
      </w:r>
      <w:r w:rsidR="6B3ED310" w:rsidRPr="00884418">
        <w:rPr>
          <w:rFonts w:ascii="Tahoma" w:eastAsia="Times New Roman" w:hAnsi="Tahoma" w:cs="Tahoma"/>
          <w:color w:val="auto"/>
          <w:sz w:val="23"/>
          <w:szCs w:val="23"/>
        </w:rPr>
        <w:t>/SP</w:t>
      </w:r>
      <w:r w:rsidR="59587739" w:rsidRPr="00884418">
        <w:rPr>
          <w:rFonts w:ascii="Tahoma" w:eastAsia="Times New Roman" w:hAnsi="Tahoma" w:cs="Tahoma"/>
          <w:color w:val="auto"/>
          <w:sz w:val="23"/>
          <w:szCs w:val="23"/>
        </w:rPr>
        <w:t>,</w:t>
      </w:r>
      <w:r w:rsidR="00275638">
        <w:rPr>
          <w:rFonts w:ascii="Tahoma" w:eastAsia="Times New Roman" w:hAnsi="Tahoma" w:cs="Tahoma"/>
          <w:color w:val="auto"/>
          <w:sz w:val="23"/>
          <w:szCs w:val="23"/>
        </w:rPr>
        <w:t xml:space="preserve"> em regime de repercussão geral, que deu origem ao Tema n. 942/STF</w:t>
      </w:r>
      <w:r w:rsidR="59587739" w:rsidRPr="00884418">
        <w:rPr>
          <w:rFonts w:ascii="Tahoma" w:eastAsia="Times New Roman" w:hAnsi="Tahoma" w:cs="Tahoma"/>
          <w:color w:val="auto"/>
          <w:sz w:val="23"/>
          <w:szCs w:val="23"/>
        </w:rPr>
        <w:t xml:space="preserve">. </w:t>
      </w:r>
    </w:p>
    <w:p w14:paraId="72A0886F" w14:textId="77777777" w:rsidR="003662BC" w:rsidRDefault="003662BC" w:rsidP="005E4F57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strike/>
          <w:sz w:val="23"/>
          <w:szCs w:val="23"/>
        </w:rPr>
      </w:pPr>
    </w:p>
    <w:p w14:paraId="139F03F0" w14:textId="77777777" w:rsidR="003662BC" w:rsidRDefault="003662BC" w:rsidP="003662BC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 xml:space="preserve">O </w:t>
      </w:r>
      <w:r w:rsidRPr="00884418">
        <w:rPr>
          <w:rFonts w:ascii="Tahoma" w:eastAsia="Times New Roman" w:hAnsi="Tahoma" w:cs="Tahoma"/>
          <w:sz w:val="23"/>
          <w:szCs w:val="23"/>
        </w:rPr>
        <w:t>atual entendimento</w:t>
      </w:r>
      <w:r>
        <w:rPr>
          <w:rFonts w:ascii="Tahoma" w:eastAsia="Times New Roman" w:hAnsi="Tahoma" w:cs="Tahoma"/>
          <w:sz w:val="23"/>
          <w:szCs w:val="23"/>
        </w:rPr>
        <w:t xml:space="preserve"> do STF afasta qualquer possibilidade de discricionariedade da Administração no que se refere à conversão de tempo especial em comum</w:t>
      </w:r>
      <w:r w:rsidRPr="00884418">
        <w:rPr>
          <w:rFonts w:ascii="Tahoma" w:eastAsia="Times New Roman" w:hAnsi="Tahoma" w:cs="Tahoma"/>
          <w:sz w:val="23"/>
          <w:szCs w:val="23"/>
        </w:rPr>
        <w:t>, vez que, em outras oportunidades (no julgamento de Mandados de Injunção), apesar de</w:t>
      </w:r>
      <w:r>
        <w:rPr>
          <w:rFonts w:ascii="Tahoma" w:eastAsia="Times New Roman" w:hAnsi="Tahoma" w:cs="Tahoma"/>
          <w:sz w:val="23"/>
          <w:szCs w:val="23"/>
        </w:rPr>
        <w:t xml:space="preserve"> a Corte</w:t>
      </w:r>
      <w:r w:rsidRPr="00884418">
        <w:rPr>
          <w:rFonts w:ascii="Tahoma" w:eastAsia="Times New Roman" w:hAnsi="Tahoma" w:cs="Tahoma"/>
          <w:sz w:val="23"/>
          <w:szCs w:val="23"/>
        </w:rPr>
        <w:t xml:space="preserve"> reconhecer o direito de aplicação </w:t>
      </w:r>
      <w:r>
        <w:rPr>
          <w:rFonts w:ascii="Tahoma" w:eastAsia="Times New Roman" w:hAnsi="Tahoma" w:cs="Tahoma"/>
          <w:sz w:val="23"/>
          <w:szCs w:val="23"/>
        </w:rPr>
        <w:t>de normas atinentes ao</w:t>
      </w:r>
      <w:r w:rsidRPr="00884418">
        <w:rPr>
          <w:rFonts w:ascii="Tahoma" w:eastAsia="Times New Roman" w:hAnsi="Tahoma" w:cs="Tahoma"/>
          <w:sz w:val="23"/>
          <w:szCs w:val="23"/>
        </w:rPr>
        <w:t xml:space="preserve"> RGPS</w:t>
      </w:r>
      <w:r>
        <w:rPr>
          <w:rFonts w:ascii="Tahoma" w:eastAsia="Times New Roman" w:hAnsi="Tahoma" w:cs="Tahoma"/>
          <w:sz w:val="23"/>
          <w:szCs w:val="23"/>
        </w:rPr>
        <w:t xml:space="preserve"> em matéria de</w:t>
      </w:r>
      <w:r w:rsidRPr="00884418">
        <w:rPr>
          <w:rFonts w:ascii="Tahoma" w:eastAsia="Times New Roman" w:hAnsi="Tahoma" w:cs="Tahoma"/>
          <w:sz w:val="23"/>
          <w:szCs w:val="23"/>
        </w:rPr>
        <w:t xml:space="preserve"> aposentadoria especial</w:t>
      </w:r>
      <w:r>
        <w:rPr>
          <w:rFonts w:ascii="Tahoma" w:eastAsia="Times New Roman" w:hAnsi="Tahoma" w:cs="Tahoma"/>
          <w:sz w:val="23"/>
          <w:szCs w:val="23"/>
        </w:rPr>
        <w:t xml:space="preserve"> aos servidores públicos, persistia a</w:t>
      </w:r>
      <w:r w:rsidRPr="00884418">
        <w:rPr>
          <w:rFonts w:ascii="Tahoma" w:eastAsia="Times New Roman" w:hAnsi="Tahoma" w:cs="Tahoma"/>
          <w:sz w:val="23"/>
          <w:szCs w:val="23"/>
        </w:rPr>
        <w:t xml:space="preserve"> aus</w:t>
      </w:r>
      <w:r>
        <w:rPr>
          <w:rFonts w:ascii="Tahoma" w:eastAsia="Times New Roman" w:hAnsi="Tahoma" w:cs="Tahoma"/>
          <w:sz w:val="23"/>
          <w:szCs w:val="23"/>
        </w:rPr>
        <w:t>ência de legislação específica acerca da</w:t>
      </w:r>
      <w:r w:rsidRPr="00884418">
        <w:rPr>
          <w:rFonts w:ascii="Tahoma" w:eastAsia="Times New Roman" w:hAnsi="Tahoma" w:cs="Tahoma"/>
          <w:sz w:val="23"/>
          <w:szCs w:val="23"/>
        </w:rPr>
        <w:t xml:space="preserve"> contagem diferenciada </w:t>
      </w:r>
      <w:r>
        <w:rPr>
          <w:rFonts w:ascii="Tahoma" w:eastAsia="Times New Roman" w:hAnsi="Tahoma" w:cs="Tahoma"/>
          <w:sz w:val="23"/>
          <w:szCs w:val="23"/>
        </w:rPr>
        <w:t>por meio da mencionada conversão de tempo.</w:t>
      </w:r>
    </w:p>
    <w:p w14:paraId="5666BA2B" w14:textId="77777777" w:rsidR="1F1E4598" w:rsidRPr="00884418" w:rsidRDefault="1F1E4598" w:rsidP="003662BC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14:paraId="3E00F55D" w14:textId="77777777" w:rsidR="3615462B" w:rsidRPr="00E362AE" w:rsidRDefault="3615462B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362AE">
        <w:rPr>
          <w:rFonts w:ascii="Tahoma" w:eastAsia="Times New Roman" w:hAnsi="Tahoma" w:cs="Tahoma"/>
          <w:sz w:val="20"/>
          <w:szCs w:val="20"/>
        </w:rPr>
        <w:t xml:space="preserve">Consigno que, desde a edição das Emendas Constitucionais 20/1998 e 47/2005, tal como apontou a d. Procuradoria-Geral da República em parecer colacionado aos autos, </w:t>
      </w:r>
      <w:r w:rsidRPr="00E362AE">
        <w:rPr>
          <w:rFonts w:ascii="Tahoma" w:eastAsia="Times New Roman" w:hAnsi="Tahoma" w:cs="Tahoma"/>
          <w:b/>
          <w:bCs/>
          <w:sz w:val="20"/>
          <w:szCs w:val="20"/>
        </w:rPr>
        <w:t>não há mais dúvida acerca da efetiva existência do direito constitucional daqueles que laboraram em condições especiais à submissão a requisitos e critérios diferenciados para alcançara aposentadoria</w:t>
      </w:r>
      <w:r w:rsidRPr="00E362AE">
        <w:rPr>
          <w:rFonts w:ascii="Tahoma" w:eastAsia="Times New Roman" w:hAnsi="Tahoma" w:cs="Tahoma"/>
          <w:sz w:val="20"/>
          <w:szCs w:val="20"/>
        </w:rPr>
        <w:t xml:space="preserve">. </w:t>
      </w:r>
    </w:p>
    <w:p w14:paraId="45D1C049" w14:textId="77777777" w:rsidR="3615462B" w:rsidRPr="00E362AE" w:rsidRDefault="3615462B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362AE">
        <w:rPr>
          <w:rFonts w:ascii="Tahoma" w:eastAsia="Times New Roman" w:hAnsi="Tahoma" w:cs="Tahoma"/>
          <w:sz w:val="20"/>
          <w:szCs w:val="20"/>
        </w:rPr>
        <w:t>Outra não é a orientação desta Suprema Corte, cristalizada no verbete de n.º 33 da Súmula da Jurisprudência Vinculante: Aplicam-se ao servidor público, no que couber, as regras do regime geral da previdência social sobre aposentadoria especial de que trata o artigo 40, § 4º, inciso III da Constituição Federal, até a edição de lei complementar específica.</w:t>
      </w:r>
    </w:p>
    <w:p w14:paraId="1ACA7FA5" w14:textId="77777777" w:rsidR="6D432125" w:rsidRPr="00E362AE" w:rsidRDefault="001A00F5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</w:t>
      </w:r>
      <w:r w:rsidR="6D432125" w:rsidRPr="00E362AE">
        <w:rPr>
          <w:rFonts w:ascii="Tahoma" w:eastAsia="Times New Roman" w:hAnsi="Tahoma" w:cs="Tahoma"/>
          <w:sz w:val="20"/>
          <w:szCs w:val="20"/>
        </w:rPr>
        <w:t>...</w:t>
      </w:r>
      <w:r>
        <w:rPr>
          <w:rFonts w:ascii="Tahoma" w:eastAsia="Times New Roman" w:hAnsi="Tahoma" w:cs="Tahoma"/>
          <w:sz w:val="20"/>
          <w:szCs w:val="20"/>
        </w:rPr>
        <w:t>]</w:t>
      </w:r>
    </w:p>
    <w:p w14:paraId="658FAF96" w14:textId="77777777" w:rsidR="6D432125" w:rsidRPr="00E362AE" w:rsidRDefault="6D432125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E362AE">
        <w:rPr>
          <w:rFonts w:ascii="Tahoma" w:eastAsia="Times New Roman" w:hAnsi="Tahoma" w:cs="Tahoma"/>
          <w:sz w:val="20"/>
          <w:szCs w:val="20"/>
        </w:rPr>
        <w:t xml:space="preserve">Uma interpretação sistemática e teleológica do art. 40, § 4°, permite verificar que </w:t>
      </w:r>
      <w:r w:rsidRPr="00E362AE">
        <w:rPr>
          <w:rFonts w:ascii="Tahoma" w:eastAsia="Times New Roman" w:hAnsi="Tahoma" w:cs="Tahoma"/>
          <w:b/>
          <w:bCs/>
          <w:sz w:val="20"/>
          <w:szCs w:val="20"/>
        </w:rPr>
        <w:t>a Constituição, impõe a construção de critérios diferenciados para o cômputo do tempo de serviço em condições de prejuízo à saúde ou à integridade física</w:t>
      </w:r>
      <w:r w:rsidRPr="00E362AE">
        <w:rPr>
          <w:rFonts w:ascii="Tahoma" w:eastAsia="Times New Roman" w:hAnsi="Tahoma" w:cs="Tahoma"/>
          <w:sz w:val="20"/>
          <w:szCs w:val="20"/>
        </w:rPr>
        <w:t>. Ao permitir a norma constitucional a aposentadoria especial com tempo reduzido de contribuição, verifica-se que reconhece os danos impostos a quem laborou em parte ou na integralidade de sua vida contributiva sob condições nocivas, de modo que</w:t>
      </w:r>
      <w:r w:rsidRPr="00E362AE">
        <w:rPr>
          <w:rFonts w:ascii="Tahoma" w:eastAsia="Times New Roman" w:hAnsi="Tahoma" w:cs="Tahoma"/>
          <w:b/>
          <w:bCs/>
          <w:sz w:val="20"/>
          <w:szCs w:val="20"/>
        </w:rPr>
        <w:t xml:space="preserve"> nesse contexto o fator de conversão do tempo especial em comum opera como preceito de isonomia, equilibrando a compensação pelos riscos impostos.</w:t>
      </w:r>
    </w:p>
    <w:p w14:paraId="544FF4BE" w14:textId="77777777" w:rsidR="5F6ECD7D" w:rsidRPr="00E362AE" w:rsidRDefault="001A00F5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[...]</w:t>
      </w:r>
    </w:p>
    <w:p w14:paraId="1A6D0267" w14:textId="77777777" w:rsidR="5F6ECD7D" w:rsidRPr="00E362AE" w:rsidRDefault="5F6ECD7D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362AE">
        <w:rPr>
          <w:rFonts w:ascii="Tahoma" w:eastAsia="Times New Roman" w:hAnsi="Tahoma" w:cs="Tahoma"/>
          <w:sz w:val="20"/>
          <w:szCs w:val="20"/>
        </w:rPr>
        <w:lastRenderedPageBreak/>
        <w:t>Se o ente federado está autorizado pelo texto constitucional, conforme disposto no art. 40, § 4º-C, a estabelecer por lei complementar idade e tempo de contribuição diferenciados para aposentadoria de servidores cujas atividades sejam exercidas com efetiva exposição a agentes químicos, físicos e biológicos prejudiciais à saúde, ou associação desses agentes, vedada a caracterização por categoria profissional ou ocupação, é consectário lógico de tal previsão que também possa dispor acerca dos fatores de conversão.</w:t>
      </w:r>
    </w:p>
    <w:p w14:paraId="6301FA0A" w14:textId="77777777" w:rsidR="5F6ECD7D" w:rsidRPr="00E362AE" w:rsidRDefault="001A00F5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[...]</w:t>
      </w:r>
    </w:p>
    <w:p w14:paraId="5DE23C8E" w14:textId="77777777" w:rsidR="5F6ECD7D" w:rsidRPr="00E362AE" w:rsidRDefault="5F6ECD7D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362AE">
        <w:rPr>
          <w:rFonts w:ascii="Tahoma" w:eastAsia="Times New Roman" w:hAnsi="Tahoma" w:cs="Tahoma"/>
          <w:sz w:val="20"/>
          <w:szCs w:val="20"/>
        </w:rPr>
        <w:t>Proponho, para fins da sistemática da repercussão geral a fixação da seguinte tese: “</w:t>
      </w:r>
      <w:r w:rsidRPr="00E362AE">
        <w:rPr>
          <w:rFonts w:ascii="Tahoma" w:eastAsia="Times New Roman" w:hAnsi="Tahoma" w:cs="Tahoma"/>
          <w:b/>
          <w:bCs/>
          <w:sz w:val="20"/>
          <w:szCs w:val="20"/>
        </w:rPr>
        <w:t xml:space="preserve">Até a edição da Emenda Constitucional nº 103/2019, o direito à conversão, em tempo comum, do prestado sob condições especiais que prejudiquem a saúde ou a integridade física de servidor público decorre da previsão de adoção de requisitos e critérios diferenciados para a jubilação daquele enquadrado na hipótese prevista no então vigente inciso III do § 4º do art. 40 da Constituição da República, devendo ser aplicadas as normas do regime geral de previdência social relativas à aposentadoria especial contidas na Lei 8.213/1991 para viabilizar sua concretização enquanto não sobrevier lei complementar disciplinadora da </w:t>
      </w:r>
      <w:proofErr w:type="spellStart"/>
      <w:r w:rsidRPr="00E362AE">
        <w:rPr>
          <w:rFonts w:ascii="Tahoma" w:eastAsia="Times New Roman" w:hAnsi="Tahoma" w:cs="Tahoma"/>
          <w:b/>
          <w:bCs/>
          <w:sz w:val="20"/>
          <w:szCs w:val="20"/>
        </w:rPr>
        <w:t>matéria.Após</w:t>
      </w:r>
      <w:proofErr w:type="spellEnd"/>
      <w:r w:rsidRPr="00E362AE">
        <w:rPr>
          <w:rFonts w:ascii="Tahoma" w:eastAsia="Times New Roman" w:hAnsi="Tahoma" w:cs="Tahoma"/>
          <w:b/>
          <w:bCs/>
          <w:sz w:val="20"/>
          <w:szCs w:val="20"/>
        </w:rPr>
        <w:t xml:space="preserve"> a vigência da EC n.º 103/2019, o direito à conversão em tempo comum, do prestado sob condições especiais pelos servidores obedecerá à legislação complementar dos entes federados, nos termos da competência conferida pelo art. 40, § 4º-C, da Constituição da República</w:t>
      </w:r>
      <w:r w:rsidRPr="00E362AE">
        <w:rPr>
          <w:rFonts w:ascii="Tahoma" w:eastAsia="Times New Roman" w:hAnsi="Tahoma" w:cs="Tahoma"/>
          <w:sz w:val="20"/>
          <w:szCs w:val="20"/>
        </w:rPr>
        <w:t>”.</w:t>
      </w:r>
      <w:r w:rsidR="7D0BF75B" w:rsidRPr="00E362AE">
        <w:rPr>
          <w:rFonts w:ascii="Tahoma" w:eastAsia="Times New Roman" w:hAnsi="Tahoma" w:cs="Tahoma"/>
          <w:sz w:val="20"/>
          <w:szCs w:val="20"/>
        </w:rPr>
        <w:t xml:space="preserve"> (grifou-se)</w:t>
      </w:r>
    </w:p>
    <w:p w14:paraId="4B39F524" w14:textId="77777777" w:rsidR="00B16BF2" w:rsidRPr="00884418" w:rsidRDefault="00B16BF2" w:rsidP="007E6EC4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14:paraId="097E52F4" w14:textId="77777777" w:rsidR="005874D8" w:rsidRDefault="00B16BF2" w:rsidP="005E4F57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>Isto é</w:t>
      </w:r>
      <w:r w:rsidR="52F511E9" w:rsidRPr="00884418">
        <w:rPr>
          <w:rFonts w:ascii="Tahoma" w:eastAsia="Times New Roman" w:hAnsi="Tahoma" w:cs="Tahoma"/>
          <w:sz w:val="23"/>
          <w:szCs w:val="23"/>
        </w:rPr>
        <w:t xml:space="preserve">, </w:t>
      </w:r>
      <w:r>
        <w:rPr>
          <w:rFonts w:ascii="Tahoma" w:eastAsia="Times New Roman" w:hAnsi="Tahoma" w:cs="Tahoma"/>
          <w:sz w:val="23"/>
          <w:szCs w:val="23"/>
        </w:rPr>
        <w:t>em razão do precedente obrigatória formado no STF</w:t>
      </w:r>
      <w:r w:rsidR="52F511E9" w:rsidRPr="00884418">
        <w:rPr>
          <w:rFonts w:ascii="Tahoma" w:eastAsia="Times New Roman" w:hAnsi="Tahoma" w:cs="Tahoma"/>
          <w:sz w:val="23"/>
          <w:szCs w:val="23"/>
        </w:rPr>
        <w:t>,</w:t>
      </w:r>
      <w:r>
        <w:rPr>
          <w:rFonts w:ascii="Tahoma" w:eastAsia="Times New Roman" w:hAnsi="Tahoma" w:cs="Tahoma"/>
          <w:sz w:val="23"/>
          <w:szCs w:val="23"/>
        </w:rPr>
        <w:t xml:space="preserve"> </w:t>
      </w:r>
      <w:r w:rsidR="52F511E9" w:rsidRPr="00884418">
        <w:rPr>
          <w:rFonts w:ascii="Tahoma" w:eastAsia="Times New Roman" w:hAnsi="Tahoma" w:cs="Tahoma"/>
          <w:b/>
          <w:bCs/>
          <w:sz w:val="23"/>
          <w:szCs w:val="23"/>
        </w:rPr>
        <w:t>o tempo laborad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o até a data de </w:t>
      </w:r>
      <w:r w:rsidR="00BD7B40">
        <w:rPr>
          <w:rFonts w:ascii="Tahoma" w:eastAsia="Times New Roman" w:hAnsi="Tahoma" w:cs="Tahoma"/>
          <w:b/>
          <w:bCs/>
          <w:sz w:val="23"/>
          <w:szCs w:val="23"/>
        </w:rPr>
        <w:t>publicação</w:t>
      </w:r>
      <w:r w:rsidR="52F511E9" w:rsidRPr="00884418">
        <w:rPr>
          <w:rFonts w:ascii="Tahoma" w:eastAsia="Times New Roman" w:hAnsi="Tahoma" w:cs="Tahoma"/>
          <w:b/>
          <w:bCs/>
          <w:sz w:val="23"/>
          <w:szCs w:val="23"/>
        </w:rPr>
        <w:t xml:space="preserve"> da Emenda Constitucional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n. 103/2019</w:t>
      </w:r>
      <w:r w:rsidR="52F511E9" w:rsidRPr="00884418">
        <w:rPr>
          <w:rFonts w:ascii="Tahoma" w:eastAsia="Times New Roman" w:hAnsi="Tahoma" w:cs="Tahoma"/>
          <w:sz w:val="23"/>
          <w:szCs w:val="23"/>
        </w:rPr>
        <w:t xml:space="preserve"> deverá ser objeto de conversão, </w:t>
      </w:r>
      <w:r>
        <w:rPr>
          <w:rFonts w:ascii="Tahoma" w:eastAsia="Times New Roman" w:hAnsi="Tahoma" w:cs="Tahoma"/>
          <w:sz w:val="23"/>
          <w:szCs w:val="23"/>
        </w:rPr>
        <w:t>considerando-se o tempo em que o R</w:t>
      </w:r>
      <w:r w:rsidR="1F463672" w:rsidRPr="00884418">
        <w:rPr>
          <w:rFonts w:ascii="Tahoma" w:eastAsia="Times New Roman" w:hAnsi="Tahoma" w:cs="Tahoma"/>
          <w:sz w:val="23"/>
          <w:szCs w:val="23"/>
        </w:rPr>
        <w:t>equerente</w:t>
      </w:r>
      <w:r w:rsidR="00BD7B40">
        <w:rPr>
          <w:rFonts w:ascii="Tahoma" w:eastAsia="Times New Roman" w:hAnsi="Tahoma" w:cs="Tahoma"/>
          <w:sz w:val="23"/>
          <w:szCs w:val="23"/>
        </w:rPr>
        <w:t xml:space="preserve"> laborou </w:t>
      </w:r>
      <w:r>
        <w:rPr>
          <w:rFonts w:ascii="Tahoma" w:eastAsia="Times New Roman" w:hAnsi="Tahoma" w:cs="Tahoma"/>
          <w:sz w:val="23"/>
          <w:szCs w:val="23"/>
        </w:rPr>
        <w:t>sob condições adversas</w:t>
      </w:r>
      <w:r w:rsidR="00BD7B40">
        <w:rPr>
          <w:rFonts w:ascii="Tahoma" w:eastAsia="Times New Roman" w:hAnsi="Tahoma" w:cs="Tahoma"/>
          <w:sz w:val="23"/>
          <w:szCs w:val="23"/>
        </w:rPr>
        <w:t xml:space="preserve"> para acrescer, ante a aplicação do multiplicador corresponde ao grau de risco, o seu tempo de serviço/contribuição. </w:t>
      </w:r>
    </w:p>
    <w:p w14:paraId="4E410B32" w14:textId="77777777" w:rsidR="001A00F5" w:rsidRDefault="001A00F5" w:rsidP="005E4F57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14:paraId="30574B9E" w14:textId="77777777" w:rsidR="001A00F5" w:rsidRPr="00884418" w:rsidRDefault="001A00F5" w:rsidP="001A00F5">
      <w:pPr>
        <w:spacing w:after="0"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>Por isso, à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queles que 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>alternadamente</w:t>
      </w:r>
      <w:r w:rsidRP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se submeteram a atividades sujeitas ao regime de aposentadoria especial e comum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até 13/11/2019, aplica-se a legislação do RGPS que estabelece </w:t>
      </w:r>
      <w:r w:rsidRPr="001A00F5">
        <w:rPr>
          <w:rFonts w:ascii="Tahoma" w:eastAsia="Times New Roman" w:hAnsi="Tahoma" w:cs="Tahoma"/>
          <w:color w:val="000000" w:themeColor="text1"/>
          <w:sz w:val="23"/>
          <w:szCs w:val="23"/>
        </w:rPr>
        <w:t>a contagem diferenciada do período de atividade especial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na forma do 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artigo 57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>, § 5º, da Lei n. 8.213/91:</w:t>
      </w:r>
    </w:p>
    <w:p w14:paraId="1FFCA6B2" w14:textId="77777777" w:rsidR="001A00F5" w:rsidRPr="00884418" w:rsidRDefault="001A00F5" w:rsidP="001A00F5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A93BA47" w14:textId="77777777" w:rsidR="001A00F5" w:rsidRDefault="001A00F5" w:rsidP="001A00F5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27563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Art. 57. A aposentadoria especial será devida, uma vez cumprida a carência exigida nesta Lei, ao segurado que tiver trabalhado sujeito a condições especiais que prejudiquem a saúde ou a integridade física, </w:t>
      </w:r>
      <w:r w:rsidRPr="0027563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durante 15 (quinze), 20 (vinte) ou 25 (vinte e cinco) anos,</w:t>
      </w:r>
      <w:r w:rsidRPr="0027563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conforme dispuser a lei. </w:t>
      </w:r>
    </w:p>
    <w:p w14:paraId="505E17CC" w14:textId="77777777" w:rsidR="001A00F5" w:rsidRDefault="001A00F5" w:rsidP="001A00F5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44C3DD6D" w14:textId="77777777" w:rsidR="001A00F5" w:rsidRDefault="001A00F5" w:rsidP="001A00F5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</w:rPr>
        <w:t>[...]</w:t>
      </w:r>
    </w:p>
    <w:p w14:paraId="29128327" w14:textId="77777777" w:rsidR="001A00F5" w:rsidRPr="00275638" w:rsidRDefault="001A00F5" w:rsidP="001A00F5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463E3FDE" w14:textId="77777777" w:rsidR="001A00F5" w:rsidRPr="00275638" w:rsidRDefault="001A00F5" w:rsidP="001A00F5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27563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§ 5º O tempo de trabalho exercido sob condições especiais que sejam ou venham a ser consideradas prejudiciais à saúde ou à integridade física será somado, após a respectiva conversão ao tempo de trabalho exercido em atividade comum, segundo critérios estabelecidos pelo Ministério da </w:t>
      </w:r>
      <w:r w:rsidRPr="00275638">
        <w:rPr>
          <w:rFonts w:ascii="Tahoma" w:eastAsia="Times New Roman" w:hAnsi="Tahoma" w:cs="Tahoma"/>
          <w:color w:val="000000" w:themeColor="text1"/>
          <w:sz w:val="20"/>
          <w:szCs w:val="20"/>
        </w:rPr>
        <w:lastRenderedPageBreak/>
        <w:t>Previdência e Assistência Social, para efeito de concessão de qualquer benefício.</w:t>
      </w:r>
    </w:p>
    <w:p w14:paraId="5D24F32D" w14:textId="77777777" w:rsidR="00BD7B40" w:rsidRDefault="00BD7B40" w:rsidP="007E6EC4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14:paraId="6D91E2C8" w14:textId="77777777" w:rsidR="005874D8" w:rsidRDefault="001A00F5" w:rsidP="005874D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>À vista disso</w:t>
      </w:r>
      <w:r w:rsidR="005874D8">
        <w:rPr>
          <w:rFonts w:ascii="Tahoma" w:eastAsia="Times New Roman" w:hAnsi="Tahoma" w:cs="Tahoma"/>
          <w:sz w:val="23"/>
          <w:szCs w:val="23"/>
        </w:rPr>
        <w:t>, em 25/03/2021, o Secretário de Previdência, por meio do Despacho n.</w:t>
      </w:r>
      <w:r w:rsidR="005874D8" w:rsidRPr="005874D8">
        <w:rPr>
          <w:rFonts w:ascii="Tahoma" w:eastAsia="Times New Roman" w:hAnsi="Tahoma" w:cs="Tahoma"/>
          <w:sz w:val="23"/>
          <w:szCs w:val="23"/>
        </w:rPr>
        <w:t xml:space="preserve"> 846/2021/SPREV/SEPRT-ME</w:t>
      </w:r>
      <w:r w:rsidR="005874D8">
        <w:rPr>
          <w:rFonts w:ascii="Tahoma" w:eastAsia="Times New Roman" w:hAnsi="Tahoma" w:cs="Tahoma"/>
          <w:sz w:val="23"/>
          <w:szCs w:val="23"/>
        </w:rPr>
        <w:t xml:space="preserve">, reconhecendo a persuasão do precedente formado no STF, aprovou as Notas Técnicas SEI n. 792/2021/ME e SEI n. </w:t>
      </w:r>
      <w:r w:rsidR="005874D8" w:rsidRPr="005874D8">
        <w:rPr>
          <w:rFonts w:ascii="Tahoma" w:eastAsia="Times New Roman" w:hAnsi="Tahoma" w:cs="Tahoma"/>
          <w:sz w:val="23"/>
          <w:szCs w:val="23"/>
        </w:rPr>
        <w:t>6178/2021/ME</w:t>
      </w:r>
      <w:r w:rsidR="005874D8">
        <w:rPr>
          <w:rFonts w:ascii="Tahoma" w:eastAsia="Times New Roman" w:hAnsi="Tahoma" w:cs="Tahoma"/>
          <w:sz w:val="23"/>
          <w:szCs w:val="23"/>
        </w:rPr>
        <w:t xml:space="preserve"> </w:t>
      </w:r>
      <w:r w:rsidR="005874D8" w:rsidRPr="005874D8">
        <w:rPr>
          <w:rFonts w:ascii="Tahoma" w:eastAsia="Times New Roman" w:hAnsi="Tahoma" w:cs="Tahoma"/>
          <w:sz w:val="23"/>
          <w:szCs w:val="23"/>
        </w:rPr>
        <w:t>que trataram da possibili</w:t>
      </w:r>
      <w:r>
        <w:rPr>
          <w:rFonts w:ascii="Tahoma" w:eastAsia="Times New Roman" w:hAnsi="Tahoma" w:cs="Tahoma"/>
          <w:sz w:val="23"/>
          <w:szCs w:val="23"/>
        </w:rPr>
        <w:t>dade de aplicação das regras de conversão do tempo especial em comum do RGPS no RPPS, na via administrativa</w:t>
      </w:r>
      <w:r w:rsidR="005874D8" w:rsidRPr="005874D8">
        <w:rPr>
          <w:rFonts w:ascii="Tahoma" w:eastAsia="Times New Roman" w:hAnsi="Tahoma" w:cs="Tahoma"/>
          <w:sz w:val="23"/>
          <w:szCs w:val="23"/>
        </w:rPr>
        <w:t xml:space="preserve">, </w:t>
      </w:r>
      <w:r>
        <w:rPr>
          <w:rFonts w:ascii="Tahoma" w:eastAsia="Times New Roman" w:hAnsi="Tahoma" w:cs="Tahoma"/>
          <w:sz w:val="23"/>
          <w:szCs w:val="23"/>
        </w:rPr>
        <w:t xml:space="preserve">aos servidores públicos que exerceram </w:t>
      </w:r>
      <w:r w:rsidR="005874D8" w:rsidRPr="005874D8">
        <w:rPr>
          <w:rFonts w:ascii="Tahoma" w:eastAsia="Times New Roman" w:hAnsi="Tahoma" w:cs="Tahoma"/>
          <w:sz w:val="23"/>
          <w:szCs w:val="23"/>
        </w:rPr>
        <w:t>atividades</w:t>
      </w:r>
      <w:r>
        <w:rPr>
          <w:rFonts w:ascii="Tahoma" w:eastAsia="Times New Roman" w:hAnsi="Tahoma" w:cs="Tahoma"/>
          <w:sz w:val="23"/>
          <w:szCs w:val="23"/>
        </w:rPr>
        <w:t xml:space="preserve"> </w:t>
      </w:r>
      <w:r w:rsidR="005874D8" w:rsidRPr="005874D8">
        <w:rPr>
          <w:rFonts w:ascii="Tahoma" w:eastAsia="Times New Roman" w:hAnsi="Tahoma" w:cs="Tahoma"/>
          <w:sz w:val="23"/>
          <w:szCs w:val="23"/>
        </w:rPr>
        <w:t>sob condições especiais, nocivas à saúde ou à integridade física</w:t>
      </w:r>
      <w:r>
        <w:rPr>
          <w:rFonts w:ascii="Tahoma" w:eastAsia="Times New Roman" w:hAnsi="Tahoma" w:cs="Tahoma"/>
          <w:sz w:val="23"/>
          <w:szCs w:val="23"/>
        </w:rPr>
        <w:t xml:space="preserve"> </w:t>
      </w:r>
      <w:r w:rsidRPr="005874D8">
        <w:rPr>
          <w:rFonts w:ascii="Tahoma" w:eastAsia="Times New Roman" w:hAnsi="Tahoma" w:cs="Tahoma"/>
          <w:sz w:val="23"/>
          <w:szCs w:val="23"/>
        </w:rPr>
        <w:t>até a publica</w:t>
      </w:r>
      <w:r>
        <w:rPr>
          <w:rFonts w:ascii="Tahoma" w:eastAsia="Times New Roman" w:hAnsi="Tahoma" w:cs="Tahoma"/>
          <w:sz w:val="23"/>
          <w:szCs w:val="23"/>
        </w:rPr>
        <w:t xml:space="preserve">ção da Emenda Constitucional n. </w:t>
      </w:r>
      <w:r w:rsidRPr="005874D8">
        <w:rPr>
          <w:rFonts w:ascii="Tahoma" w:eastAsia="Times New Roman" w:hAnsi="Tahoma" w:cs="Tahoma"/>
          <w:sz w:val="23"/>
          <w:szCs w:val="23"/>
        </w:rPr>
        <w:t>103/2019</w:t>
      </w:r>
      <w:r>
        <w:rPr>
          <w:rFonts w:ascii="Tahoma" w:eastAsia="Times New Roman" w:hAnsi="Tahoma" w:cs="Tahoma"/>
          <w:sz w:val="23"/>
          <w:szCs w:val="23"/>
        </w:rPr>
        <w:t>.</w:t>
      </w:r>
    </w:p>
    <w:p w14:paraId="10B5FFE8" w14:textId="77777777" w:rsidR="001A00F5" w:rsidRPr="005874D8" w:rsidRDefault="001A00F5" w:rsidP="005874D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14:paraId="31271477" w14:textId="77777777" w:rsidR="1F463672" w:rsidRPr="00884418" w:rsidRDefault="1F463672" w:rsidP="005E4F57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Uma vez demonstrada a possibilidade/legalidade da conversão do tempo de trabalho exercido em atividade 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periculosa e/ou 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insalubre em 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tempo 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comum, se faz necessário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discorrer sobre o</w:t>
      </w:r>
      <w:r w:rsidR="00755BB8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fator de conversão para fins d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este cômputo</w:t>
      </w:r>
      <w:r w:rsidR="005874D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 sobre a peculiaridade da situação funcional dos Auditores-Fiscais da Receita Federal do Brasil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.</w:t>
      </w:r>
    </w:p>
    <w:p w14:paraId="4348E103" w14:textId="77777777" w:rsidR="1F1E4598" w:rsidRPr="00884418" w:rsidRDefault="1F1E4598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5DED0A60" w14:textId="77777777" w:rsidR="3698E69B" w:rsidRPr="00884418" w:rsidRDefault="3698E69B" w:rsidP="005E4F57">
      <w:pPr>
        <w:spacing w:after="0"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Nesse sentido</w:t>
      </w:r>
      <w:r w:rsidR="085970C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o artigo 57 </w:t>
      </w:r>
      <w:r w:rsidR="66280E8F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da Lei 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n. </w:t>
      </w:r>
      <w:r w:rsidR="66280E8F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8.213/91 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>estabelece</w:t>
      </w:r>
      <w:r w:rsidR="085970C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três 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>prazos</w:t>
      </w:r>
      <w:r w:rsidR="085970C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de </w:t>
      </w:r>
      <w:r w:rsidR="085970C6" w:rsidRPr="005E4F57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>carência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para o requerimento de</w:t>
      </w:r>
      <w:r w:rsidR="085970C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aposentadoria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especial</w:t>
      </w:r>
      <w:r w:rsidR="085970C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(em qualquer caso</w:t>
      </w:r>
      <w:r w:rsidR="3409514C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,</w:t>
      </w:r>
      <w:r w:rsidR="085970C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sem exigência de idade mínima): 15 (quinze), 20 (vinte) ou 25 (vinte e cinco) anos.</w:t>
      </w:r>
    </w:p>
    <w:p w14:paraId="69B4005B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97E8A16" w14:textId="77777777" w:rsidR="3B2D8D88" w:rsidRPr="006430E2" w:rsidRDefault="085970C6" w:rsidP="005E4F57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O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artigo 70 do Decreto 3.048/99</w:t>
      </w:r>
      <w:r w:rsidR="002FD19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(atualmente revogado pelo</w:t>
      </w:r>
      <w:r w:rsidR="005E4F57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Decreto n.</w:t>
      </w:r>
      <w:r w:rsidR="517D09EC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14D34A71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10.410, de 2020)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,</w:t>
      </w:r>
      <w:r w:rsidR="005E4F57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disciplina</w:t>
      </w:r>
      <w:r w:rsidR="7D351453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va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 regra base dos multiplicadores que serão utilizados dependendo da intensidade e do nível de risco a que se sujeita</w:t>
      </w:r>
      <w:r w:rsidR="005E4F57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proofErr w:type="spellStart"/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o</w:t>
      </w:r>
      <w:proofErr w:type="spellEnd"/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trabalhador:</w:t>
      </w:r>
    </w:p>
    <w:p w14:paraId="46843E77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5A5D3837" w14:textId="77777777" w:rsidR="1F463672" w:rsidRPr="005E4F57" w:rsidRDefault="1F463672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5E4F57">
        <w:rPr>
          <w:rFonts w:ascii="Tahoma" w:eastAsia="Times New Roman" w:hAnsi="Tahoma" w:cs="Tahoma"/>
          <w:color w:val="000000" w:themeColor="text1"/>
          <w:sz w:val="20"/>
          <w:szCs w:val="20"/>
        </w:rPr>
        <w:t>Art. 70. A conversão de tempo de atividade sob condições especiais em tempo de atividade comum dar-se-á de acordo com a seguinte tabela:</w:t>
      </w:r>
    </w:p>
    <w:p w14:paraId="45427FC7" w14:textId="77777777" w:rsidR="1F1E4598" w:rsidRPr="00884418" w:rsidRDefault="1F1E4598" w:rsidP="003657A7">
      <w:pPr>
        <w:spacing w:after="0" w:line="360" w:lineRule="auto"/>
        <w:ind w:left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tbl>
      <w:tblPr>
        <w:tblStyle w:val="Tabelacomgrade"/>
        <w:bidiVisual/>
        <w:tblW w:w="0" w:type="auto"/>
        <w:tblLayout w:type="fixed"/>
        <w:tblLook w:val="06A0" w:firstRow="1" w:lastRow="0" w:firstColumn="1" w:lastColumn="0" w:noHBand="1" w:noVBand="1"/>
      </w:tblPr>
      <w:tblGrid>
        <w:gridCol w:w="2375"/>
        <w:gridCol w:w="1984"/>
        <w:gridCol w:w="2268"/>
      </w:tblGrid>
      <w:tr w:rsidR="00BD7B40" w:rsidRPr="00884418" w14:paraId="586A35E4" w14:textId="77777777" w:rsidTr="002751AC">
        <w:tc>
          <w:tcPr>
            <w:tcW w:w="2375" w:type="dxa"/>
          </w:tcPr>
          <w:p w14:paraId="232CE16B" w14:textId="77777777" w:rsidR="00BD7B40" w:rsidRPr="00BD7B40" w:rsidRDefault="00BD7B40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TEMPO A CONVERTER</w:t>
            </w:r>
          </w:p>
        </w:tc>
        <w:tc>
          <w:tcPr>
            <w:tcW w:w="4252" w:type="dxa"/>
            <w:gridSpan w:val="2"/>
          </w:tcPr>
          <w:p w14:paraId="0BD07D79" w14:textId="77777777" w:rsidR="00BD7B40" w:rsidRPr="00BD7B40" w:rsidRDefault="00BD7B40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MULTIPLICADORES</w:t>
            </w:r>
          </w:p>
        </w:tc>
      </w:tr>
      <w:tr w:rsidR="1F1E4598" w:rsidRPr="00884418" w14:paraId="07F2E821" w14:textId="77777777" w:rsidTr="00BD7B40">
        <w:tc>
          <w:tcPr>
            <w:tcW w:w="2375" w:type="dxa"/>
          </w:tcPr>
          <w:p w14:paraId="7DA248BC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CD5D7D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MULHER (PARA 30)</w:t>
            </w:r>
          </w:p>
        </w:tc>
        <w:tc>
          <w:tcPr>
            <w:tcW w:w="2268" w:type="dxa"/>
          </w:tcPr>
          <w:p w14:paraId="428874BA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HOMEM (PARA 35)</w:t>
            </w:r>
          </w:p>
        </w:tc>
      </w:tr>
      <w:tr w:rsidR="1F1E4598" w:rsidRPr="00884418" w14:paraId="42289E30" w14:textId="77777777" w:rsidTr="00BD7B40">
        <w:tc>
          <w:tcPr>
            <w:tcW w:w="2375" w:type="dxa"/>
          </w:tcPr>
          <w:p w14:paraId="0CBFE454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DE 15 ANOS</w:t>
            </w:r>
          </w:p>
        </w:tc>
        <w:tc>
          <w:tcPr>
            <w:tcW w:w="1984" w:type="dxa"/>
          </w:tcPr>
          <w:p w14:paraId="38A70FAE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2,00</w:t>
            </w:r>
          </w:p>
        </w:tc>
        <w:tc>
          <w:tcPr>
            <w:tcW w:w="2268" w:type="dxa"/>
          </w:tcPr>
          <w:p w14:paraId="7C1163A5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2,33</w:t>
            </w:r>
          </w:p>
        </w:tc>
      </w:tr>
      <w:tr w:rsidR="1F1E4598" w:rsidRPr="00884418" w14:paraId="2B9698F5" w14:textId="77777777" w:rsidTr="00BD7B40">
        <w:tc>
          <w:tcPr>
            <w:tcW w:w="2375" w:type="dxa"/>
          </w:tcPr>
          <w:p w14:paraId="2B496AFC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DE 20 ANOS</w:t>
            </w:r>
          </w:p>
        </w:tc>
        <w:tc>
          <w:tcPr>
            <w:tcW w:w="1984" w:type="dxa"/>
          </w:tcPr>
          <w:p w14:paraId="3A9A0D54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1,50</w:t>
            </w:r>
          </w:p>
        </w:tc>
        <w:tc>
          <w:tcPr>
            <w:tcW w:w="2268" w:type="dxa"/>
          </w:tcPr>
          <w:p w14:paraId="42FE29CE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1,75</w:t>
            </w:r>
          </w:p>
        </w:tc>
      </w:tr>
      <w:tr w:rsidR="1F1E4598" w:rsidRPr="00884418" w14:paraId="7246A3B0" w14:textId="77777777" w:rsidTr="00BD7B40">
        <w:tc>
          <w:tcPr>
            <w:tcW w:w="2375" w:type="dxa"/>
          </w:tcPr>
          <w:p w14:paraId="4B76AFAB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DE 25 ANOS</w:t>
            </w:r>
          </w:p>
        </w:tc>
        <w:tc>
          <w:tcPr>
            <w:tcW w:w="1984" w:type="dxa"/>
          </w:tcPr>
          <w:p w14:paraId="233E0399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1,20</w:t>
            </w:r>
          </w:p>
        </w:tc>
        <w:tc>
          <w:tcPr>
            <w:tcW w:w="2268" w:type="dxa"/>
          </w:tcPr>
          <w:p w14:paraId="1D1CBB35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1,40</w:t>
            </w:r>
          </w:p>
        </w:tc>
      </w:tr>
    </w:tbl>
    <w:p w14:paraId="1B028310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4A6AB47C" w14:textId="77777777" w:rsidR="4F376AA7" w:rsidRPr="00884418" w:rsidRDefault="4F376AA7" w:rsidP="005E4F57">
      <w:pPr>
        <w:spacing w:after="0" w:line="360" w:lineRule="auto"/>
        <w:ind w:firstLine="1276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lastRenderedPageBreak/>
        <w:t>Dessa forma, segundo a tabela de conve</w:t>
      </w:r>
      <w:r w:rsidR="00990F9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rsão, aplica-se o multiplicador 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="005E4F57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 xml:space="preserve">indicação do multiplicador, por exemplo, </w:t>
      </w:r>
      <w:r w:rsidR="7A1B5558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1,4, para homens e 1,2, para mulheres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  <w:r w:rsidR="669F5D7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- par</w:t>
      </w:r>
      <w:r w:rsidR="21EEFA83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 </w:t>
      </w:r>
      <w:r w:rsidR="00990F95" w:rsidRPr="001A00F5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>o período</w:t>
      </w:r>
      <w:r w:rsidR="005E4F57" w:rsidRPr="001A00F5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 xml:space="preserve"> trabalhado</w:t>
      </w:r>
      <w:r w:rsidR="001A00F5" w:rsidRPr="001A00F5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 xml:space="preserve"> pelo Requerente</w:t>
      </w:r>
      <w:r w:rsidR="005E4F57" w:rsidRPr="001A00F5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 xml:space="preserve"> em</w:t>
      </w:r>
      <w:r w:rsidR="21EEFA83" w:rsidRPr="001A00F5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 xml:space="preserve"> condições </w:t>
      </w:r>
      <w:r w:rsidR="50E639AA" w:rsidRPr="001A00F5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>especiais.</w:t>
      </w:r>
    </w:p>
    <w:p w14:paraId="7A9AD14F" w14:textId="77777777" w:rsidR="004A3C74" w:rsidRDefault="004A3C74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205CC2DB" w14:textId="77777777" w:rsidR="0060179F" w:rsidRDefault="001A00F5" w:rsidP="00BD7B40">
      <w:pPr>
        <w:spacing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>Por fim, c</w:t>
      </w:r>
      <w:r w:rsidR="0060179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abe ressaltar que situação dos </w:t>
      </w:r>
      <w:r w:rsidR="0060179F" w:rsidRPr="00280F27">
        <w:rPr>
          <w:rFonts w:ascii="Tahoma" w:hAnsi="Tahoma" w:cs="Tahoma"/>
          <w:sz w:val="23"/>
          <w:szCs w:val="23"/>
        </w:rPr>
        <w:t>integrantes das Carreiras Tributária e Aduaneir</w:t>
      </w:r>
      <w:r w:rsidR="0060179F">
        <w:rPr>
          <w:rFonts w:ascii="Tahoma" w:hAnsi="Tahoma" w:cs="Tahoma"/>
          <w:sz w:val="23"/>
          <w:szCs w:val="23"/>
        </w:rPr>
        <w:t xml:space="preserve">a da Receita Federal do Brasil </w:t>
      </w:r>
      <w:r w:rsidR="0060179F" w:rsidRPr="00280F27">
        <w:rPr>
          <w:rFonts w:ascii="Tahoma" w:hAnsi="Tahoma" w:cs="Tahoma"/>
          <w:sz w:val="23"/>
          <w:szCs w:val="23"/>
        </w:rPr>
        <w:t xml:space="preserve">é peculiar, uma vez que alguns passaram por 3 (três) situações jurídicas na carreira: primeiramente, eram regidos pela Lei n. 10.910/04 que estabelecia a remuneração por vencimento básico compatível com o recebimento de adicionais ocupacionais; posteriormente, com o advento da MP </w:t>
      </w:r>
      <w:r w:rsidR="0060179F">
        <w:rPr>
          <w:rFonts w:ascii="Tahoma" w:hAnsi="Tahoma" w:cs="Tahoma"/>
          <w:sz w:val="23"/>
          <w:szCs w:val="23"/>
        </w:rPr>
        <w:t xml:space="preserve">n. </w:t>
      </w:r>
      <w:r w:rsidR="0060179F" w:rsidRPr="00280F27">
        <w:rPr>
          <w:rFonts w:ascii="Tahoma" w:hAnsi="Tahoma" w:cs="Tahoma"/>
          <w:sz w:val="23"/>
          <w:szCs w:val="23"/>
        </w:rPr>
        <w:t xml:space="preserve">440/08, convertida na Lei n. 11.890/08, a remuneração passou a ser por subsídio, portanto incompatível com a percepção dos adicionais ocupacionais; e, por fim, a MP </w:t>
      </w:r>
      <w:r w:rsidR="0060179F">
        <w:rPr>
          <w:rFonts w:ascii="Tahoma" w:hAnsi="Tahoma" w:cs="Tahoma"/>
          <w:sz w:val="23"/>
          <w:szCs w:val="23"/>
        </w:rPr>
        <w:t xml:space="preserve">n. </w:t>
      </w:r>
      <w:r w:rsidR="0060179F" w:rsidRPr="00280F27">
        <w:rPr>
          <w:rFonts w:ascii="Tahoma" w:hAnsi="Tahoma" w:cs="Tahoma"/>
          <w:sz w:val="23"/>
          <w:szCs w:val="23"/>
        </w:rPr>
        <w:t xml:space="preserve">765/16, convertida na Lei n. 13.464/17, restabeleceu o regime remuneratório para vencimento básico, tornando novamente possível </w:t>
      </w:r>
      <w:r w:rsidR="0060179F">
        <w:rPr>
          <w:rFonts w:ascii="Tahoma" w:hAnsi="Tahoma" w:cs="Tahoma"/>
          <w:sz w:val="23"/>
          <w:szCs w:val="23"/>
        </w:rPr>
        <w:t>a percepção de</w:t>
      </w:r>
      <w:r w:rsidR="0060179F" w:rsidRPr="00280F27">
        <w:rPr>
          <w:rFonts w:ascii="Tahoma" w:hAnsi="Tahoma" w:cs="Tahoma"/>
          <w:sz w:val="23"/>
          <w:szCs w:val="23"/>
        </w:rPr>
        <w:t xml:space="preserve"> adicionais ocupacionais.</w:t>
      </w:r>
    </w:p>
    <w:p w14:paraId="21AC087A" w14:textId="77777777" w:rsidR="00BD7B40" w:rsidRDefault="00BD7B40" w:rsidP="00BD7B40">
      <w:pPr>
        <w:spacing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</w:p>
    <w:p w14:paraId="5FCDFDA5" w14:textId="77777777" w:rsidR="0060179F" w:rsidRDefault="0060179F" w:rsidP="00BD7B40">
      <w:pPr>
        <w:spacing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Ocorre que, no ínterim entre a vigência da MP n. 440/08 e a vigência da MP n. 765/16, mesmo que laborando comprovadamente em ambiente/atividade periclitante/insalubre, o Re</w:t>
      </w:r>
      <w:r w:rsidR="001A00F5">
        <w:rPr>
          <w:rFonts w:ascii="Tahoma" w:hAnsi="Tahoma" w:cs="Tahoma"/>
          <w:sz w:val="23"/>
          <w:szCs w:val="23"/>
        </w:rPr>
        <w:t>querente, conforme provam</w:t>
      </w:r>
      <w:r>
        <w:rPr>
          <w:rFonts w:ascii="Tahoma" w:hAnsi="Tahoma" w:cs="Tahoma"/>
          <w:sz w:val="23"/>
          <w:szCs w:val="23"/>
        </w:rPr>
        <w:t xml:space="preserve"> sua portaria de localização e </w:t>
      </w:r>
      <w:r w:rsidR="001A00F5">
        <w:rPr>
          <w:rFonts w:ascii="Tahoma" w:hAnsi="Tahoma" w:cs="Tahoma"/>
          <w:sz w:val="23"/>
          <w:szCs w:val="23"/>
        </w:rPr>
        <w:t xml:space="preserve">suas </w:t>
      </w:r>
      <w:r>
        <w:rPr>
          <w:rFonts w:ascii="Tahoma" w:hAnsi="Tahoma" w:cs="Tahoma"/>
          <w:sz w:val="23"/>
          <w:szCs w:val="23"/>
        </w:rPr>
        <w:t>fichas financeiras, por conta da incompatibilidade da percepção de adicionais ocupacionais com o subsídio, deixou de receber o adicional de [</w:t>
      </w:r>
      <w:r w:rsidRPr="0060179F">
        <w:rPr>
          <w:rFonts w:ascii="Tahoma" w:hAnsi="Tahoma" w:cs="Tahoma"/>
          <w:sz w:val="23"/>
          <w:szCs w:val="23"/>
          <w:highlight w:val="yellow"/>
        </w:rPr>
        <w:t>indicar o adicional ocupacional que recebia antes do subsídio – periculosidade/insalubridade/irradiação ionizante</w:t>
      </w:r>
      <w:r>
        <w:rPr>
          <w:rFonts w:ascii="Tahoma" w:hAnsi="Tahoma" w:cs="Tahoma"/>
          <w:sz w:val="23"/>
          <w:szCs w:val="23"/>
        </w:rPr>
        <w:t>].</w:t>
      </w:r>
    </w:p>
    <w:p w14:paraId="7C888E29" w14:textId="77777777" w:rsidR="00BD7B40" w:rsidRDefault="00BD7B40" w:rsidP="007E6EC4">
      <w:pPr>
        <w:spacing w:line="360" w:lineRule="auto"/>
        <w:contextualSpacing/>
        <w:jc w:val="both"/>
        <w:rPr>
          <w:rFonts w:ascii="Tahoma" w:hAnsi="Tahoma" w:cs="Tahoma"/>
          <w:sz w:val="23"/>
          <w:szCs w:val="23"/>
        </w:rPr>
      </w:pPr>
    </w:p>
    <w:p w14:paraId="1DC2B854" w14:textId="77777777" w:rsidR="00C26AC6" w:rsidRDefault="00C26AC6" w:rsidP="00BD7B40">
      <w:pPr>
        <w:spacing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Por essa perspectiva, a</w:t>
      </w:r>
      <w:r w:rsidRPr="00C26AC6">
        <w:rPr>
          <w:rFonts w:ascii="Tahoma" w:hAnsi="Tahoma" w:cs="Tahoma"/>
          <w:sz w:val="23"/>
          <w:szCs w:val="23"/>
        </w:rPr>
        <w:t xml:space="preserve"> fixação de remuneração pela sistemática do subsídio</w:t>
      </w:r>
      <w:r>
        <w:rPr>
          <w:rFonts w:ascii="Tahoma" w:hAnsi="Tahoma" w:cs="Tahoma"/>
          <w:sz w:val="23"/>
          <w:szCs w:val="23"/>
        </w:rPr>
        <w:t xml:space="preserve"> não descaracteriza a especialidade da atividade</w:t>
      </w:r>
      <w:r w:rsidRPr="00C26AC6">
        <w:rPr>
          <w:rFonts w:ascii="Tahoma" w:hAnsi="Tahoma" w:cs="Tahoma"/>
          <w:sz w:val="23"/>
          <w:szCs w:val="23"/>
        </w:rPr>
        <w:t>,</w:t>
      </w:r>
      <w:r>
        <w:rPr>
          <w:rFonts w:ascii="Tahoma" w:hAnsi="Tahoma" w:cs="Tahoma"/>
          <w:sz w:val="23"/>
          <w:szCs w:val="23"/>
        </w:rPr>
        <w:t xml:space="preserve"> porquanto a vedação de percepção do adicional ocupacional não se deu pela cessação das condições que ensejaram seu pagamento antes da MP n. 440/08, </w:t>
      </w:r>
      <w:r w:rsidR="00FC423E">
        <w:rPr>
          <w:rFonts w:ascii="Tahoma" w:hAnsi="Tahoma" w:cs="Tahoma"/>
          <w:sz w:val="23"/>
          <w:szCs w:val="23"/>
        </w:rPr>
        <w:t xml:space="preserve">isto é, no interregno de </w:t>
      </w:r>
      <w:r w:rsidR="00FC423E" w:rsidRPr="00435AB0">
        <w:rPr>
          <w:rFonts w:ascii="Tahoma" w:hAnsi="Tahoma" w:cs="Tahoma"/>
          <w:sz w:val="23"/>
          <w:szCs w:val="23"/>
          <w:highlight w:val="yellow"/>
        </w:rPr>
        <w:t>XX/XX/XX a XX/XX/XX</w:t>
      </w:r>
      <w:r w:rsidR="00435AB0">
        <w:rPr>
          <w:rFonts w:ascii="Tahoma" w:hAnsi="Tahoma" w:cs="Tahoma"/>
          <w:sz w:val="23"/>
          <w:szCs w:val="23"/>
        </w:rPr>
        <w:t xml:space="preserve"> [</w:t>
      </w:r>
      <w:r w:rsidR="00435AB0" w:rsidRPr="00435AB0">
        <w:rPr>
          <w:rFonts w:ascii="Tahoma" w:hAnsi="Tahoma" w:cs="Tahoma"/>
          <w:sz w:val="23"/>
          <w:szCs w:val="23"/>
          <w:highlight w:val="yellow"/>
        </w:rPr>
        <w:t>neste ponto indicar o período que, durante a remuneração por subsídio, continua laborando na localidade em que havia laudo pericial atestando as condições adversas</w:t>
      </w:r>
      <w:r w:rsidR="00435AB0">
        <w:rPr>
          <w:rFonts w:ascii="Tahoma" w:hAnsi="Tahoma" w:cs="Tahoma"/>
          <w:sz w:val="23"/>
          <w:szCs w:val="23"/>
        </w:rPr>
        <w:t>]</w:t>
      </w:r>
      <w:r w:rsidR="00FC423E">
        <w:rPr>
          <w:rFonts w:ascii="Tahoma" w:hAnsi="Tahoma" w:cs="Tahoma"/>
          <w:sz w:val="23"/>
          <w:szCs w:val="23"/>
        </w:rPr>
        <w:t xml:space="preserve"> o Requerente continuou a laborar sob condições que lhe impunham riscos à saúde </w:t>
      </w:r>
      <w:r w:rsidR="00435AB0">
        <w:rPr>
          <w:rFonts w:ascii="Tahoma" w:hAnsi="Tahoma" w:cs="Tahoma"/>
          <w:sz w:val="23"/>
          <w:szCs w:val="23"/>
        </w:rPr>
        <w:t>e/</w:t>
      </w:r>
      <w:r w:rsidR="00FC423E">
        <w:rPr>
          <w:rFonts w:ascii="Tahoma" w:hAnsi="Tahoma" w:cs="Tahoma"/>
          <w:sz w:val="23"/>
          <w:szCs w:val="23"/>
        </w:rPr>
        <w:t>ou à integridade física.</w:t>
      </w:r>
    </w:p>
    <w:p w14:paraId="522624B0" w14:textId="77777777" w:rsidR="00BD7B40" w:rsidRDefault="00BD7B40" w:rsidP="00BD7B40">
      <w:pPr>
        <w:spacing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</w:p>
    <w:p w14:paraId="1C5A5A4B" w14:textId="77777777" w:rsidR="1F1E4598" w:rsidRDefault="00FC423E" w:rsidP="001A00F5">
      <w:pPr>
        <w:spacing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lastRenderedPageBreak/>
        <w:t xml:space="preserve">Razão pela qual, inobstante o não recebimento do adicional ocupacional, impõe-se o reconhecimento da especialidade </w:t>
      </w:r>
      <w:r w:rsidR="00BD7B40">
        <w:rPr>
          <w:rFonts w:ascii="Tahoma" w:hAnsi="Tahoma" w:cs="Tahoma"/>
          <w:sz w:val="23"/>
          <w:szCs w:val="23"/>
        </w:rPr>
        <w:t>do tempo de serviço no período</w:t>
      </w:r>
      <w:r>
        <w:rPr>
          <w:rFonts w:ascii="Tahoma" w:hAnsi="Tahoma" w:cs="Tahoma"/>
          <w:sz w:val="23"/>
          <w:szCs w:val="23"/>
        </w:rPr>
        <w:t xml:space="preserve"> para fins de aposentadoria especial ou conversão de tempo especial em comum</w:t>
      </w:r>
      <w:r w:rsidR="001A00F5">
        <w:rPr>
          <w:rFonts w:ascii="Tahoma" w:hAnsi="Tahoma" w:cs="Tahoma"/>
          <w:sz w:val="23"/>
          <w:szCs w:val="23"/>
        </w:rPr>
        <w:t>.</w:t>
      </w:r>
    </w:p>
    <w:p w14:paraId="5146A75E" w14:textId="77777777" w:rsidR="006F044E" w:rsidRPr="001A00F5" w:rsidRDefault="006F044E" w:rsidP="007E6EC4">
      <w:pPr>
        <w:spacing w:line="360" w:lineRule="auto"/>
        <w:contextualSpacing/>
        <w:jc w:val="both"/>
        <w:rPr>
          <w:rFonts w:ascii="Tahoma" w:hAnsi="Tahoma" w:cs="Tahoma"/>
          <w:sz w:val="23"/>
          <w:szCs w:val="23"/>
        </w:rPr>
      </w:pPr>
    </w:p>
    <w:p w14:paraId="1E8F9CDD" w14:textId="77777777" w:rsidR="3A5118ED" w:rsidRPr="00884418" w:rsidRDefault="3A5118ED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 xml:space="preserve">3. </w:t>
      </w:r>
      <w:r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u w:val="single"/>
        </w:rPr>
        <w:t>REQUERIMENTO</w:t>
      </w:r>
    </w:p>
    <w:p w14:paraId="06818A5A" w14:textId="77777777" w:rsidR="1F1E4598" w:rsidRPr="00884418" w:rsidRDefault="1F1E4598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2A55DC9" w14:textId="77777777" w:rsidR="00BD7B40" w:rsidRDefault="30628CEF" w:rsidP="004A3C74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>Ante o exposto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requer </w:t>
      </w:r>
    </w:p>
    <w:p w14:paraId="0D0BBF9D" w14:textId="77777777" w:rsidR="00BD7B40" w:rsidRDefault="00BD7B40" w:rsidP="004A3C74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16C2AA7A" w14:textId="77777777" w:rsidR="00BD7B40" w:rsidRDefault="30628CEF" w:rsidP="00BD7B40">
      <w:pPr>
        <w:pStyle w:val="PargrafodaLista"/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seja 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convertido o tempo especial em comum</w:t>
      </w:r>
      <w:r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aplicando-se </w:t>
      </w:r>
      <w:r w:rsidR="31BF4E7C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o multiplicador 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indicar o multiplicador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] ao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(s)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período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(s)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de</w:t>
      </w:r>
      <w:r w:rsidR="00990F95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[</w:t>
      </w:r>
      <w:r w:rsidR="00990F95" w:rsidRPr="00BD7B40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indicar o período a ser considerado para conversão</w:t>
      </w:r>
      <w:r w:rsidR="00990F95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em que o Requerente desenvolveu suas atividades sob condições prejudiciais à saúde e/ou à integridade física</w:t>
      </w:r>
      <w:r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,</w:t>
      </w:r>
      <w:r w:rsid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conforme provam os </w:t>
      </w:r>
      <w:r w:rsidR="00BD7B40" w:rsidRPr="007E6EC4">
        <w:rPr>
          <w:rFonts w:ascii="Tahoma" w:eastAsia="Times New Roman" w:hAnsi="Tahoma" w:cs="Tahoma"/>
          <w:sz w:val="23"/>
          <w:szCs w:val="23"/>
        </w:rPr>
        <w:t>documentos anexos</w:t>
      </w:r>
      <w:r w:rsidR="006F044E" w:rsidRPr="007E6EC4">
        <w:rPr>
          <w:rFonts w:ascii="Tahoma" w:eastAsia="Times New Roman" w:hAnsi="Tahoma" w:cs="Tahoma"/>
          <w:sz w:val="23"/>
          <w:szCs w:val="23"/>
        </w:rPr>
        <w:t>, com a respectiva certificação em seus assentamentos funcionais</w:t>
      </w:r>
      <w:r w:rsidR="00BD7B40" w:rsidRPr="007E6EC4">
        <w:rPr>
          <w:rFonts w:ascii="Tahoma" w:eastAsia="Times New Roman" w:hAnsi="Tahoma" w:cs="Tahoma"/>
          <w:sz w:val="23"/>
          <w:szCs w:val="23"/>
        </w:rPr>
        <w:t>;</w:t>
      </w:r>
    </w:p>
    <w:p w14:paraId="4512C5E3" w14:textId="77777777" w:rsidR="00BD7B40" w:rsidRDefault="00BD7B40" w:rsidP="00BD7B40">
      <w:pPr>
        <w:pStyle w:val="PargrafodaLista"/>
        <w:spacing w:after="0" w:line="360" w:lineRule="auto"/>
        <w:ind w:left="149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7C3E7ED0" w14:textId="77777777" w:rsidR="00BD7B40" w:rsidRPr="007E6EC4" w:rsidRDefault="00BD7B40" w:rsidP="00BD7B40">
      <w:pPr>
        <w:pStyle w:val="PargrafodaLista"/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seja 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concedido ao Requerente a/o </w:t>
      </w:r>
      <w:r w:rsidR="006430E2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="00F005D8" w:rsidRPr="00BD7B40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aposenta</w:t>
      </w:r>
      <w:r w:rsidR="006430E2" w:rsidRPr="00BD7B40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doria e/ou abono de permanência</w:t>
      </w:r>
      <w:r w:rsidR="006430E2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  <w:r w:rsidR="006F044E">
        <w:rPr>
          <w:rFonts w:ascii="Tahoma" w:eastAsia="Times New Roman" w:hAnsi="Tahoma" w:cs="Tahoma"/>
          <w:color w:val="000000" w:themeColor="text1"/>
          <w:sz w:val="23"/>
          <w:szCs w:val="23"/>
        </w:rPr>
        <w:t>;</w:t>
      </w:r>
    </w:p>
    <w:p w14:paraId="0493DA3E" w14:textId="77777777" w:rsidR="1F1E4598" w:rsidRPr="00884418" w:rsidRDefault="30628CEF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</w:p>
    <w:p w14:paraId="3728268F" w14:textId="77777777" w:rsidR="30628CEF" w:rsidRPr="00884418" w:rsidRDefault="30628CEF" w:rsidP="005E4F57">
      <w:pPr>
        <w:spacing w:after="0" w:line="360" w:lineRule="auto"/>
        <w:ind w:firstLine="1701"/>
        <w:contextualSpacing/>
        <w:jc w:val="right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local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], [</w:t>
      </w:r>
      <w:r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data</w:t>
      </w:r>
      <w:r w:rsidR="00990F95">
        <w:rPr>
          <w:rFonts w:ascii="Tahoma" w:eastAsia="Times New Roman" w:hAnsi="Tahoma" w:cs="Tahoma"/>
          <w:color w:val="000000" w:themeColor="text1"/>
          <w:sz w:val="23"/>
          <w:szCs w:val="23"/>
        </w:rPr>
        <w:t>] de 2021</w:t>
      </w:r>
    </w:p>
    <w:p w14:paraId="1A5C11F8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592A1EA6" w14:textId="77777777" w:rsidR="1F1E4598" w:rsidRPr="00884418" w:rsidRDefault="1F1E4598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FE6B20D" w14:textId="77777777" w:rsidR="6EC2EFB7" w:rsidRPr="00884418" w:rsidRDefault="6EC2EFB7" w:rsidP="003657A7">
      <w:pPr>
        <w:spacing w:after="0" w:line="360" w:lineRule="auto"/>
        <w:ind w:firstLine="1701"/>
        <w:contextualSpacing/>
        <w:jc w:val="both"/>
        <w:rPr>
          <w:rFonts w:ascii="Tahoma" w:hAnsi="Tahoma" w:cs="Tahoma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Nome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</w:p>
    <w:p w14:paraId="10497E35" w14:textId="77777777" w:rsidR="3A5118ED" w:rsidRPr="00884418" w:rsidRDefault="3A5118ED" w:rsidP="003657A7">
      <w:pPr>
        <w:spacing w:after="0" w:line="360" w:lineRule="auto"/>
        <w:ind w:firstLine="1701"/>
        <w:contextualSpacing/>
        <w:jc w:val="both"/>
        <w:rPr>
          <w:rFonts w:ascii="Tahoma" w:hAnsi="Tahoma" w:cs="Tahoma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MATRÍCULA 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="006430E2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número da matrícula funcional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</w:p>
    <w:p w14:paraId="6E7B76CA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118924CA" w14:textId="77777777" w:rsidR="1F1E4598" w:rsidRDefault="006F044E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 w:rsidRPr="007E6EC4">
        <w:rPr>
          <w:rFonts w:ascii="Tahoma" w:eastAsia="Times New Roman" w:hAnsi="Tahoma" w:cs="Tahoma"/>
          <w:sz w:val="23"/>
          <w:szCs w:val="23"/>
        </w:rPr>
        <w:t>Documentos anexos:</w:t>
      </w:r>
    </w:p>
    <w:p w14:paraId="5555012B" w14:textId="77777777" w:rsidR="007E6EC4" w:rsidRDefault="007E6EC4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14:paraId="391AB9C5" w14:textId="77777777" w:rsidR="007E6EC4" w:rsidRDefault="007E6EC4" w:rsidP="007E6EC4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>C</w:t>
      </w:r>
      <w:r w:rsidRPr="007E6EC4">
        <w:rPr>
          <w:rFonts w:ascii="Tahoma" w:eastAsia="Times New Roman" w:hAnsi="Tahoma" w:cs="Tahoma"/>
          <w:sz w:val="23"/>
          <w:szCs w:val="23"/>
        </w:rPr>
        <w:t>ópia da decisão do MI n. 1616</w:t>
      </w:r>
      <w:r>
        <w:rPr>
          <w:rFonts w:ascii="Tahoma" w:eastAsia="Times New Roman" w:hAnsi="Tahoma" w:cs="Tahoma"/>
          <w:sz w:val="23"/>
          <w:szCs w:val="23"/>
        </w:rPr>
        <w:t>;</w:t>
      </w:r>
    </w:p>
    <w:p w14:paraId="51558AAA" w14:textId="77777777" w:rsidR="007E6EC4" w:rsidRDefault="007E6EC4" w:rsidP="007E6EC4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 xml:space="preserve">Laudos Periciais; </w:t>
      </w:r>
    </w:p>
    <w:p w14:paraId="59B57C44" w14:textId="77777777" w:rsidR="007E6EC4" w:rsidRPr="007E6EC4" w:rsidRDefault="007E6EC4" w:rsidP="007E6EC4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C</w:t>
      </w:r>
      <w:r w:rsidRPr="004E7FE6">
        <w:rPr>
          <w:rFonts w:ascii="Tahoma" w:hAnsi="Tahoma" w:cs="Tahoma"/>
          <w:sz w:val="23"/>
          <w:szCs w:val="23"/>
        </w:rPr>
        <w:t>ópia da decisão administrativa que concedeu o adicional ocupacional</w:t>
      </w:r>
      <w:r>
        <w:rPr>
          <w:rFonts w:ascii="Tahoma" w:hAnsi="Tahoma" w:cs="Tahoma"/>
          <w:sz w:val="23"/>
          <w:szCs w:val="23"/>
        </w:rPr>
        <w:t>;</w:t>
      </w:r>
    </w:p>
    <w:p w14:paraId="226D14BF" w14:textId="77777777" w:rsidR="007E6EC4" w:rsidRDefault="007E6EC4" w:rsidP="007E6EC4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>Fichas financeiras do período a ser convertido;</w:t>
      </w:r>
    </w:p>
    <w:p w14:paraId="4DC1A745" w14:textId="77777777" w:rsidR="007E6EC4" w:rsidRPr="007E6EC4" w:rsidRDefault="007E6EC4" w:rsidP="007E6EC4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 w:rsidRPr="004E7FE6">
        <w:rPr>
          <w:rFonts w:ascii="Tahoma" w:hAnsi="Tahoma" w:cs="Tahoma"/>
          <w:sz w:val="23"/>
          <w:szCs w:val="23"/>
        </w:rPr>
        <w:t>Portaria de Localização e/ou histórico de lotação referente ao período que será objeto da conversão</w:t>
      </w:r>
      <w:r>
        <w:rPr>
          <w:rFonts w:ascii="Tahoma" w:hAnsi="Tahoma" w:cs="Tahoma"/>
          <w:sz w:val="23"/>
          <w:szCs w:val="23"/>
        </w:rPr>
        <w:t>.</w:t>
      </w:r>
    </w:p>
    <w:p w14:paraId="193AF1A3" w14:textId="77777777" w:rsidR="006F044E" w:rsidRPr="00884418" w:rsidRDefault="006F044E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sectPr w:rsidR="006F044E" w:rsidRPr="00884418" w:rsidSect="00F005D8">
      <w:headerReference w:type="default" r:id="rId11"/>
      <w:footerReference w:type="default" r:id="rId12"/>
      <w:pgSz w:w="11906" w:h="16838" w:code="9"/>
      <w:pgMar w:top="1701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07EC" w14:textId="77777777" w:rsidR="00081C1C" w:rsidRDefault="00081C1C" w:rsidP="005F0A06">
      <w:pPr>
        <w:spacing w:after="0" w:line="240" w:lineRule="auto"/>
      </w:pPr>
      <w:r>
        <w:separator/>
      </w:r>
    </w:p>
  </w:endnote>
  <w:endnote w:type="continuationSeparator" w:id="0">
    <w:p w14:paraId="159E0E60" w14:textId="77777777" w:rsidR="00081C1C" w:rsidRDefault="00081C1C" w:rsidP="005F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EE53" w14:textId="77777777" w:rsidR="005F0A06" w:rsidRPr="007A1EAB" w:rsidRDefault="005F0A06">
    <w:pPr>
      <w:pStyle w:val="Rodap"/>
      <w:jc w:val="right"/>
      <w:rPr>
        <w:rFonts w:ascii="Arial" w:hAnsi="Arial" w:cs="Arial"/>
        <w:sz w:val="20"/>
        <w:szCs w:val="20"/>
      </w:rPr>
    </w:pPr>
  </w:p>
  <w:p w14:paraId="7B76B75F" w14:textId="77777777" w:rsidR="005F0A06" w:rsidRDefault="005F0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21E7" w14:textId="77777777" w:rsidR="00081C1C" w:rsidRDefault="00081C1C" w:rsidP="005F0A06">
      <w:pPr>
        <w:spacing w:after="0" w:line="240" w:lineRule="auto"/>
      </w:pPr>
      <w:r>
        <w:separator/>
      </w:r>
    </w:p>
  </w:footnote>
  <w:footnote w:type="continuationSeparator" w:id="0">
    <w:p w14:paraId="00818CB2" w14:textId="77777777" w:rsidR="00081C1C" w:rsidRDefault="00081C1C" w:rsidP="005F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2DD5" w14:textId="77777777" w:rsidR="00A217CB" w:rsidRPr="00C10247" w:rsidRDefault="00A217CB" w:rsidP="0009266F">
    <w:pPr>
      <w:pStyle w:val="Cabealh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9F7"/>
    <w:multiLevelType w:val="hybridMultilevel"/>
    <w:tmpl w:val="4CA82DD0"/>
    <w:lvl w:ilvl="0" w:tplc="9DD8F8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3646CCC"/>
    <w:multiLevelType w:val="hybridMultilevel"/>
    <w:tmpl w:val="4BF8D7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20661"/>
    <w:multiLevelType w:val="hybridMultilevel"/>
    <w:tmpl w:val="A9349DEC"/>
    <w:lvl w:ilvl="0" w:tplc="7618DC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4496638"/>
    <w:multiLevelType w:val="hybridMultilevel"/>
    <w:tmpl w:val="E6E4516C"/>
    <w:lvl w:ilvl="0" w:tplc="19C01B1C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6F"/>
    <w:rsid w:val="00002F10"/>
    <w:rsid w:val="00003738"/>
    <w:rsid w:val="000165B2"/>
    <w:rsid w:val="00035B21"/>
    <w:rsid w:val="000430C1"/>
    <w:rsid w:val="00054E15"/>
    <w:rsid w:val="00077AFF"/>
    <w:rsid w:val="00081C1C"/>
    <w:rsid w:val="0009266F"/>
    <w:rsid w:val="000A6BBF"/>
    <w:rsid w:val="000C554D"/>
    <w:rsid w:val="00113EA8"/>
    <w:rsid w:val="0012445E"/>
    <w:rsid w:val="001548D3"/>
    <w:rsid w:val="00161914"/>
    <w:rsid w:val="001717FF"/>
    <w:rsid w:val="001A00F5"/>
    <w:rsid w:val="001C3E00"/>
    <w:rsid w:val="001C53D1"/>
    <w:rsid w:val="001D6D62"/>
    <w:rsid w:val="001F5C2F"/>
    <w:rsid w:val="001FEB8F"/>
    <w:rsid w:val="0021664C"/>
    <w:rsid w:val="00216C7E"/>
    <w:rsid w:val="00252B9D"/>
    <w:rsid w:val="00275638"/>
    <w:rsid w:val="00290407"/>
    <w:rsid w:val="002B04E9"/>
    <w:rsid w:val="002F2EB4"/>
    <w:rsid w:val="002FD196"/>
    <w:rsid w:val="00320228"/>
    <w:rsid w:val="00325763"/>
    <w:rsid w:val="00345ED6"/>
    <w:rsid w:val="003554EE"/>
    <w:rsid w:val="003657A7"/>
    <w:rsid w:val="003662BC"/>
    <w:rsid w:val="00384013"/>
    <w:rsid w:val="003A79E8"/>
    <w:rsid w:val="003B7F53"/>
    <w:rsid w:val="003D156C"/>
    <w:rsid w:val="003E2723"/>
    <w:rsid w:val="003E5AF5"/>
    <w:rsid w:val="00401CCE"/>
    <w:rsid w:val="00435AB0"/>
    <w:rsid w:val="00474041"/>
    <w:rsid w:val="00484544"/>
    <w:rsid w:val="0048736A"/>
    <w:rsid w:val="004A3C74"/>
    <w:rsid w:val="005115F2"/>
    <w:rsid w:val="005221DD"/>
    <w:rsid w:val="0053098D"/>
    <w:rsid w:val="005618B8"/>
    <w:rsid w:val="005874D8"/>
    <w:rsid w:val="005A20CD"/>
    <w:rsid w:val="005C5A36"/>
    <w:rsid w:val="005D0169"/>
    <w:rsid w:val="005E4F57"/>
    <w:rsid w:val="005F0A06"/>
    <w:rsid w:val="0060179F"/>
    <w:rsid w:val="0061326D"/>
    <w:rsid w:val="0062449E"/>
    <w:rsid w:val="006430E2"/>
    <w:rsid w:val="00646CE6"/>
    <w:rsid w:val="006A68FF"/>
    <w:rsid w:val="006A7685"/>
    <w:rsid w:val="006C0AFF"/>
    <w:rsid w:val="006D5937"/>
    <w:rsid w:val="006F044E"/>
    <w:rsid w:val="007453B3"/>
    <w:rsid w:val="00755BB8"/>
    <w:rsid w:val="0077243F"/>
    <w:rsid w:val="007A1EAB"/>
    <w:rsid w:val="007A2D20"/>
    <w:rsid w:val="007D5D39"/>
    <w:rsid w:val="007E6EC4"/>
    <w:rsid w:val="007F2FF1"/>
    <w:rsid w:val="008048B2"/>
    <w:rsid w:val="00805FDD"/>
    <w:rsid w:val="00831CED"/>
    <w:rsid w:val="00842AEC"/>
    <w:rsid w:val="008564A9"/>
    <w:rsid w:val="008759D8"/>
    <w:rsid w:val="00884418"/>
    <w:rsid w:val="00886411"/>
    <w:rsid w:val="008A202F"/>
    <w:rsid w:val="008A7B31"/>
    <w:rsid w:val="008E31EC"/>
    <w:rsid w:val="00944842"/>
    <w:rsid w:val="009472E6"/>
    <w:rsid w:val="00990F95"/>
    <w:rsid w:val="00991616"/>
    <w:rsid w:val="00994A85"/>
    <w:rsid w:val="009C42DB"/>
    <w:rsid w:val="009D3697"/>
    <w:rsid w:val="009F12FD"/>
    <w:rsid w:val="009F2484"/>
    <w:rsid w:val="00A217CB"/>
    <w:rsid w:val="00A43C20"/>
    <w:rsid w:val="00A479CD"/>
    <w:rsid w:val="00A53D55"/>
    <w:rsid w:val="00A76D6F"/>
    <w:rsid w:val="00A86EB1"/>
    <w:rsid w:val="00AA2A10"/>
    <w:rsid w:val="00AA74A2"/>
    <w:rsid w:val="00B16BF2"/>
    <w:rsid w:val="00B662B4"/>
    <w:rsid w:val="00B77566"/>
    <w:rsid w:val="00B87155"/>
    <w:rsid w:val="00B97A85"/>
    <w:rsid w:val="00BB1471"/>
    <w:rsid w:val="00BD7B40"/>
    <w:rsid w:val="00BE307B"/>
    <w:rsid w:val="00BF1956"/>
    <w:rsid w:val="00C10247"/>
    <w:rsid w:val="00C26AC6"/>
    <w:rsid w:val="00C43815"/>
    <w:rsid w:val="00C514BD"/>
    <w:rsid w:val="00C828E1"/>
    <w:rsid w:val="00D065F2"/>
    <w:rsid w:val="00D217FF"/>
    <w:rsid w:val="00D445B1"/>
    <w:rsid w:val="00D629C6"/>
    <w:rsid w:val="00D8063E"/>
    <w:rsid w:val="00DA2BCF"/>
    <w:rsid w:val="00DE221C"/>
    <w:rsid w:val="00E362AE"/>
    <w:rsid w:val="00E519D8"/>
    <w:rsid w:val="00E51A25"/>
    <w:rsid w:val="00E51B30"/>
    <w:rsid w:val="00E6677F"/>
    <w:rsid w:val="00E82E83"/>
    <w:rsid w:val="00EB3C68"/>
    <w:rsid w:val="00EB75C1"/>
    <w:rsid w:val="00EB7919"/>
    <w:rsid w:val="00EC7EE2"/>
    <w:rsid w:val="00F005D8"/>
    <w:rsid w:val="00F31A1F"/>
    <w:rsid w:val="00F3401F"/>
    <w:rsid w:val="00F74FD3"/>
    <w:rsid w:val="00FA4F63"/>
    <w:rsid w:val="00FC423E"/>
    <w:rsid w:val="00FD29DB"/>
    <w:rsid w:val="00FD7953"/>
    <w:rsid w:val="014FF733"/>
    <w:rsid w:val="01B7E81A"/>
    <w:rsid w:val="02297196"/>
    <w:rsid w:val="03107198"/>
    <w:rsid w:val="03CDB161"/>
    <w:rsid w:val="047BD302"/>
    <w:rsid w:val="0530A91F"/>
    <w:rsid w:val="061045FF"/>
    <w:rsid w:val="07305873"/>
    <w:rsid w:val="07C7ECE7"/>
    <w:rsid w:val="082A5070"/>
    <w:rsid w:val="085970C6"/>
    <w:rsid w:val="088D75DE"/>
    <w:rsid w:val="088FE592"/>
    <w:rsid w:val="0916217D"/>
    <w:rsid w:val="09455674"/>
    <w:rsid w:val="099C4BAA"/>
    <w:rsid w:val="09A5D659"/>
    <w:rsid w:val="0A3F6CCC"/>
    <w:rsid w:val="0ADE3F4B"/>
    <w:rsid w:val="0B6E1C8D"/>
    <w:rsid w:val="0C3A7D6E"/>
    <w:rsid w:val="0D69828C"/>
    <w:rsid w:val="0DD99214"/>
    <w:rsid w:val="0E0E8A71"/>
    <w:rsid w:val="0E1C9F56"/>
    <w:rsid w:val="0E57BA65"/>
    <w:rsid w:val="0EB26E17"/>
    <w:rsid w:val="0EC95147"/>
    <w:rsid w:val="0F23EA61"/>
    <w:rsid w:val="0FA27992"/>
    <w:rsid w:val="104A645D"/>
    <w:rsid w:val="105201AB"/>
    <w:rsid w:val="109B70F4"/>
    <w:rsid w:val="10AE99D0"/>
    <w:rsid w:val="10E572D5"/>
    <w:rsid w:val="1151ED2C"/>
    <w:rsid w:val="11B0AAAE"/>
    <w:rsid w:val="11B6D3F1"/>
    <w:rsid w:val="1261F162"/>
    <w:rsid w:val="1270299D"/>
    <w:rsid w:val="12D04247"/>
    <w:rsid w:val="1300D210"/>
    <w:rsid w:val="1392CA5F"/>
    <w:rsid w:val="140641BC"/>
    <w:rsid w:val="144B1456"/>
    <w:rsid w:val="14AA8332"/>
    <w:rsid w:val="14D34A71"/>
    <w:rsid w:val="14F33815"/>
    <w:rsid w:val="15D9B278"/>
    <w:rsid w:val="168E1E4C"/>
    <w:rsid w:val="16CA30C4"/>
    <w:rsid w:val="1792E191"/>
    <w:rsid w:val="17BEE26B"/>
    <w:rsid w:val="180A8F01"/>
    <w:rsid w:val="18E1132C"/>
    <w:rsid w:val="19559320"/>
    <w:rsid w:val="1A55AB37"/>
    <w:rsid w:val="1A743F93"/>
    <w:rsid w:val="1A89D02F"/>
    <w:rsid w:val="1B4FBA53"/>
    <w:rsid w:val="1B5ABB4D"/>
    <w:rsid w:val="1B94F1D1"/>
    <w:rsid w:val="1B99C7F0"/>
    <w:rsid w:val="1BAAA43B"/>
    <w:rsid w:val="1BD88041"/>
    <w:rsid w:val="1BEC0DC0"/>
    <w:rsid w:val="1C16B7BD"/>
    <w:rsid w:val="1C6B218C"/>
    <w:rsid w:val="1C82537C"/>
    <w:rsid w:val="1CBCDFDB"/>
    <w:rsid w:val="1CC53219"/>
    <w:rsid w:val="1CD0A624"/>
    <w:rsid w:val="1E509AAF"/>
    <w:rsid w:val="1E78212D"/>
    <w:rsid w:val="1F1E4598"/>
    <w:rsid w:val="1F463672"/>
    <w:rsid w:val="1F88114E"/>
    <w:rsid w:val="2023951B"/>
    <w:rsid w:val="204F4B12"/>
    <w:rsid w:val="20B7CEA0"/>
    <w:rsid w:val="218C95AC"/>
    <w:rsid w:val="21CF709D"/>
    <w:rsid w:val="21EEFA83"/>
    <w:rsid w:val="21F6FA3F"/>
    <w:rsid w:val="22C1E7FA"/>
    <w:rsid w:val="230EBE7D"/>
    <w:rsid w:val="2363CEE9"/>
    <w:rsid w:val="245ACD1A"/>
    <w:rsid w:val="249A19AC"/>
    <w:rsid w:val="24CBF1FA"/>
    <w:rsid w:val="255BEEE2"/>
    <w:rsid w:val="25F78074"/>
    <w:rsid w:val="26196108"/>
    <w:rsid w:val="278E75EA"/>
    <w:rsid w:val="27CED3E3"/>
    <w:rsid w:val="27E6E42E"/>
    <w:rsid w:val="2837EFB4"/>
    <w:rsid w:val="28817B8C"/>
    <w:rsid w:val="28CA7F56"/>
    <w:rsid w:val="28CAFADF"/>
    <w:rsid w:val="28F624D6"/>
    <w:rsid w:val="29721A8C"/>
    <w:rsid w:val="2A59377E"/>
    <w:rsid w:val="2B0EC166"/>
    <w:rsid w:val="2BB2BE9E"/>
    <w:rsid w:val="2C167C2F"/>
    <w:rsid w:val="2C465620"/>
    <w:rsid w:val="2CC10007"/>
    <w:rsid w:val="2CC932E7"/>
    <w:rsid w:val="2CFED870"/>
    <w:rsid w:val="2D1D990F"/>
    <w:rsid w:val="2D224AF0"/>
    <w:rsid w:val="2DF630EF"/>
    <w:rsid w:val="2DF68642"/>
    <w:rsid w:val="2E231FFF"/>
    <w:rsid w:val="2EF29AD8"/>
    <w:rsid w:val="3014FD9D"/>
    <w:rsid w:val="30220A65"/>
    <w:rsid w:val="303797A8"/>
    <w:rsid w:val="30628CEF"/>
    <w:rsid w:val="3068FE1F"/>
    <w:rsid w:val="308289BB"/>
    <w:rsid w:val="30855F43"/>
    <w:rsid w:val="30CF6D35"/>
    <w:rsid w:val="311A767C"/>
    <w:rsid w:val="3125E8E7"/>
    <w:rsid w:val="31BF4E7C"/>
    <w:rsid w:val="324FE3DE"/>
    <w:rsid w:val="33174D7A"/>
    <w:rsid w:val="333AD218"/>
    <w:rsid w:val="3398B354"/>
    <w:rsid w:val="33AB4775"/>
    <w:rsid w:val="33C2AF1F"/>
    <w:rsid w:val="33CBEEBC"/>
    <w:rsid w:val="3409514C"/>
    <w:rsid w:val="344372EC"/>
    <w:rsid w:val="34906919"/>
    <w:rsid w:val="35E898B9"/>
    <w:rsid w:val="3615462B"/>
    <w:rsid w:val="36774699"/>
    <w:rsid w:val="3698E69B"/>
    <w:rsid w:val="3740BFC3"/>
    <w:rsid w:val="37A2B10E"/>
    <w:rsid w:val="381EB1B7"/>
    <w:rsid w:val="38DADDE5"/>
    <w:rsid w:val="3A07C6A9"/>
    <w:rsid w:val="3A18572C"/>
    <w:rsid w:val="3A5118ED"/>
    <w:rsid w:val="3AF31EB5"/>
    <w:rsid w:val="3B2D8D88"/>
    <w:rsid w:val="3C16C576"/>
    <w:rsid w:val="3C94C2E3"/>
    <w:rsid w:val="3D311FCF"/>
    <w:rsid w:val="3E054D19"/>
    <w:rsid w:val="3E3AFB77"/>
    <w:rsid w:val="3EBA5459"/>
    <w:rsid w:val="3EDE8FA9"/>
    <w:rsid w:val="3FAEED43"/>
    <w:rsid w:val="415C9356"/>
    <w:rsid w:val="41CE8213"/>
    <w:rsid w:val="41CF395D"/>
    <w:rsid w:val="42220E43"/>
    <w:rsid w:val="4276C6C4"/>
    <w:rsid w:val="444535F5"/>
    <w:rsid w:val="44A2F57B"/>
    <w:rsid w:val="44B086F3"/>
    <w:rsid w:val="44D901BA"/>
    <w:rsid w:val="44EAF669"/>
    <w:rsid w:val="45ADCED9"/>
    <w:rsid w:val="45F7A84B"/>
    <w:rsid w:val="4603B335"/>
    <w:rsid w:val="4830817D"/>
    <w:rsid w:val="48CA6699"/>
    <w:rsid w:val="492CC27F"/>
    <w:rsid w:val="4A2221C0"/>
    <w:rsid w:val="4A27D9CF"/>
    <w:rsid w:val="4B45AAD5"/>
    <w:rsid w:val="4BAC20D3"/>
    <w:rsid w:val="4D7BEE36"/>
    <w:rsid w:val="4DBD20C3"/>
    <w:rsid w:val="4F376AA7"/>
    <w:rsid w:val="4FA1357D"/>
    <w:rsid w:val="4FD74141"/>
    <w:rsid w:val="50E639AA"/>
    <w:rsid w:val="515AC404"/>
    <w:rsid w:val="517D09EC"/>
    <w:rsid w:val="52327687"/>
    <w:rsid w:val="525E8FA1"/>
    <w:rsid w:val="527EA668"/>
    <w:rsid w:val="528D026E"/>
    <w:rsid w:val="52E116EE"/>
    <w:rsid w:val="52F511E9"/>
    <w:rsid w:val="53574986"/>
    <w:rsid w:val="537CB1FB"/>
    <w:rsid w:val="543BD3B2"/>
    <w:rsid w:val="54C419D0"/>
    <w:rsid w:val="554CFD90"/>
    <w:rsid w:val="558305E7"/>
    <w:rsid w:val="560A127A"/>
    <w:rsid w:val="5664DC40"/>
    <w:rsid w:val="569DF219"/>
    <w:rsid w:val="56E46F7A"/>
    <w:rsid w:val="56EDA407"/>
    <w:rsid w:val="573FBC4F"/>
    <w:rsid w:val="59587739"/>
    <w:rsid w:val="59888940"/>
    <w:rsid w:val="59CF8D5E"/>
    <w:rsid w:val="59F7CBD6"/>
    <w:rsid w:val="5B44B4EC"/>
    <w:rsid w:val="5B99B25D"/>
    <w:rsid w:val="5BB0A35E"/>
    <w:rsid w:val="5C9DF9B7"/>
    <w:rsid w:val="5CB70E3F"/>
    <w:rsid w:val="5CC88604"/>
    <w:rsid w:val="5CEA26A4"/>
    <w:rsid w:val="5D3137CD"/>
    <w:rsid w:val="5D52921B"/>
    <w:rsid w:val="5D65AB2A"/>
    <w:rsid w:val="5E00D1C7"/>
    <w:rsid w:val="5E0F2693"/>
    <w:rsid w:val="5F5C6AAA"/>
    <w:rsid w:val="5F6ECD7D"/>
    <w:rsid w:val="60012F98"/>
    <w:rsid w:val="6024FC13"/>
    <w:rsid w:val="6065DB35"/>
    <w:rsid w:val="6066113B"/>
    <w:rsid w:val="60865A5E"/>
    <w:rsid w:val="609B53DB"/>
    <w:rsid w:val="60EBEF80"/>
    <w:rsid w:val="61780FF4"/>
    <w:rsid w:val="623EBE58"/>
    <w:rsid w:val="6287747E"/>
    <w:rsid w:val="630C16BC"/>
    <w:rsid w:val="633BFAC8"/>
    <w:rsid w:val="637AD154"/>
    <w:rsid w:val="64C1E4BA"/>
    <w:rsid w:val="65B15719"/>
    <w:rsid w:val="66280E8F"/>
    <w:rsid w:val="669F5D77"/>
    <w:rsid w:val="675A2333"/>
    <w:rsid w:val="678C1D83"/>
    <w:rsid w:val="67DC535F"/>
    <w:rsid w:val="67FF16ED"/>
    <w:rsid w:val="6854E24C"/>
    <w:rsid w:val="69262183"/>
    <w:rsid w:val="6954F68A"/>
    <w:rsid w:val="6958F1A3"/>
    <w:rsid w:val="6964EEC4"/>
    <w:rsid w:val="699C1DA6"/>
    <w:rsid w:val="69C0BB33"/>
    <w:rsid w:val="6A5B4755"/>
    <w:rsid w:val="6A6C091E"/>
    <w:rsid w:val="6AFD8A2E"/>
    <w:rsid w:val="6B18DA43"/>
    <w:rsid w:val="6B1DF037"/>
    <w:rsid w:val="6B3ED310"/>
    <w:rsid w:val="6B9A8FAF"/>
    <w:rsid w:val="6C2F733E"/>
    <w:rsid w:val="6C4E7DAE"/>
    <w:rsid w:val="6CABD1EB"/>
    <w:rsid w:val="6CC3525E"/>
    <w:rsid w:val="6D00A3B4"/>
    <w:rsid w:val="6D432125"/>
    <w:rsid w:val="6D619CD7"/>
    <w:rsid w:val="6E0712A4"/>
    <w:rsid w:val="6E0E12AA"/>
    <w:rsid w:val="6E44210F"/>
    <w:rsid w:val="6E7C79F4"/>
    <w:rsid w:val="6EC2EFB7"/>
    <w:rsid w:val="6F924869"/>
    <w:rsid w:val="7035CED7"/>
    <w:rsid w:val="7067AB23"/>
    <w:rsid w:val="70B371A5"/>
    <w:rsid w:val="7147CEB4"/>
    <w:rsid w:val="726B9536"/>
    <w:rsid w:val="7283768F"/>
    <w:rsid w:val="7297021E"/>
    <w:rsid w:val="7343D1C4"/>
    <w:rsid w:val="740B8688"/>
    <w:rsid w:val="748BDE09"/>
    <w:rsid w:val="74C72327"/>
    <w:rsid w:val="773DAE42"/>
    <w:rsid w:val="779E352E"/>
    <w:rsid w:val="787D2217"/>
    <w:rsid w:val="7951063A"/>
    <w:rsid w:val="79CBA2C8"/>
    <w:rsid w:val="7A1B5558"/>
    <w:rsid w:val="7A314D33"/>
    <w:rsid w:val="7A689A08"/>
    <w:rsid w:val="7ABE0416"/>
    <w:rsid w:val="7AE4837B"/>
    <w:rsid w:val="7B10E279"/>
    <w:rsid w:val="7B69EC9D"/>
    <w:rsid w:val="7C2415B0"/>
    <w:rsid w:val="7C3E88A8"/>
    <w:rsid w:val="7C78B7D9"/>
    <w:rsid w:val="7C8D709B"/>
    <w:rsid w:val="7C9DDF37"/>
    <w:rsid w:val="7D0BF75B"/>
    <w:rsid w:val="7D351453"/>
    <w:rsid w:val="7D54D774"/>
    <w:rsid w:val="7D7EEA51"/>
    <w:rsid w:val="7D8782BE"/>
    <w:rsid w:val="7DD20223"/>
    <w:rsid w:val="7DF0FFCB"/>
    <w:rsid w:val="7E31AB74"/>
    <w:rsid w:val="7EC84CA8"/>
    <w:rsid w:val="7EE4569E"/>
    <w:rsid w:val="7F90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4BE985"/>
  <w15:docId w15:val="{B64516AC-FB44-4204-B3B5-132F7EC5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6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6191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6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A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F0A0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0A0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F0A06"/>
    <w:rPr>
      <w:sz w:val="22"/>
      <w:szCs w:val="22"/>
      <w:lang w:eastAsia="en-US"/>
    </w:rPr>
  </w:style>
  <w:style w:type="paragraph" w:styleId="Textodenotaderodap">
    <w:name w:val="footnote text"/>
    <w:aliases w:val="ESC-Rodapé"/>
    <w:basedOn w:val="Normal"/>
    <w:link w:val="TextodenotaderodapChar"/>
    <w:rsid w:val="005F0A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aliases w:val="ESC-Rodapé Char"/>
    <w:link w:val="Textodenotaderodap"/>
    <w:rsid w:val="005F0A06"/>
    <w:rPr>
      <w:rFonts w:ascii="Times New Roman" w:eastAsia="Times New Roman" w:hAnsi="Times New Roman"/>
    </w:rPr>
  </w:style>
  <w:style w:type="character" w:styleId="Refdenotaderodap">
    <w:name w:val="footnote reference"/>
    <w:rsid w:val="005F0A06"/>
    <w:rPr>
      <w:vertAlign w:val="superscript"/>
    </w:rPr>
  </w:style>
  <w:style w:type="table" w:styleId="Tabelacomgrade">
    <w:name w:val="Table Grid"/>
    <w:basedOn w:val="Tabelanormal"/>
    <w:uiPriority w:val="59"/>
    <w:rsid w:val="00EB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7EE2"/>
    <w:pPr>
      <w:ind w:left="708"/>
    </w:pPr>
  </w:style>
  <w:style w:type="character" w:customStyle="1" w:styleId="Ttulo1Char">
    <w:name w:val="Título 1 Char"/>
    <w:link w:val="Ttulo1"/>
    <w:rsid w:val="00161914"/>
    <w:rPr>
      <w:rFonts w:ascii="Times New Roman" w:eastAsia="Times New Roman" w:hAnsi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7FF"/>
    <w:rPr>
      <w:rFonts w:ascii="Segoe UI" w:hAnsi="Segoe UI" w:cs="Segoe UI"/>
      <w:sz w:val="18"/>
      <w:szCs w:val="1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2166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115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1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248CDCAB5A34E941FB83B06E8C452" ma:contentTypeVersion="51" ma:contentTypeDescription="Crie um novo documento." ma:contentTypeScope="" ma:versionID="488fa9420240e0e19e418b65c39bcd79">
  <xsd:schema xmlns:xsd="http://www.w3.org/2001/XMLSchema" xmlns:xs="http://www.w3.org/2001/XMLSchema" xmlns:p="http://schemas.microsoft.com/office/2006/metadata/properties" xmlns:ns1="http://schemas.microsoft.com/sharepoint/v3" xmlns:ns2="e3718376-4e92-4ff6-af16-fb096180aea3" xmlns:ns3="381ee611-f51f-4a36-8d42-e44f8919228b" targetNamespace="http://schemas.microsoft.com/office/2006/metadata/properties" ma:root="true" ma:fieldsID="d58e5a0af9ed2cc17e0d61d311337a89" ns1:_="" ns2:_="" ns3:_="">
    <xsd:import namespace="http://schemas.microsoft.com/sharepoint/v3"/>
    <xsd:import namespace="e3718376-4e92-4ff6-af16-fb096180aea3"/>
    <xsd:import namespace="381ee611-f51f-4a36-8d42-e44f8919228b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luxo_x0020_de_x0020_Aprova_x00e7__x00e3_o_x0020_de_x0020_Documentos" minOccurs="0"/>
                <xsd:element ref="ns2:Entrega" minOccurs="0"/>
                <xsd:element ref="ns2:Cliente" minOccurs="0"/>
                <xsd:element ref="ns1:PublishingStartDate" minOccurs="0"/>
                <xsd:element ref="ns1:PublishingExpirationDate" minOccurs="0"/>
                <xsd:element ref="ns3:AssuntodoDocumento" minOccurs="0"/>
                <xsd:element ref="ns3:TipodoDocumento" minOccurs="0"/>
                <xsd:element ref="ns2:Assunto_x0020_do_x0020_Documento_x003a_Assunto" minOccurs="0"/>
                <xsd:element ref="ns2:Assunto_x0020_do_x0020_Documento_x003a_Campo" minOccurs="0"/>
                <xsd:element ref="ns2:Tipo_x0020_do_x0020_Documento_x003a_G_x00ea_nero" minOccurs="0"/>
                <xsd:element ref="ns2:Tipo_x0020_do_x0020_Documento_x003a_Classe" minOccurs="0"/>
                <xsd:element ref="ns3:Entidade" minOccurs="0"/>
                <xsd:element ref="ns2:Processo" minOccurs="0"/>
                <xsd:element ref="ns3:Destinatario" minOccurs="0"/>
                <xsd:element ref="ns2:Destinat_x00e1_rio_x003a__x00d3_rgao" minOccurs="0"/>
                <xsd:element ref="ns2:Entregador"/>
                <xsd:element ref="ns2:Revisor"/>
                <xsd:element ref="ns2:Tipo_x0020_do_x0020_Documento_x003a_Esp_x00e9_cie" minOccurs="0"/>
                <xsd:element ref="ns2:NomeAlterado" minOccurs="0"/>
                <xsd:element ref="ns3:SharedWithUsers" minOccurs="0"/>
                <xsd:element ref="ns3:SharingHintHash" minOccurs="0"/>
                <xsd:element ref="ns3:SharedWithDetails" minOccurs="0"/>
                <xsd:element ref="ns2:Encaminhar_x0020_para_x0020_Entrega" minOccurs="0"/>
                <xsd:element ref="ns2:Habilitar_x0020_Mudan_x00e7_a_x0020_de_x0020_Nome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18376-4e92-4ff6-af16-fb096180aea3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m Desenvolvimento" ma:format="Dropdown" ma:internalName="Status">
      <xsd:simpleType>
        <xsd:restriction base="dms:Choice">
          <xsd:enumeration value="Em Desenvolvimento"/>
          <xsd:enumeration value="Em Revisão"/>
          <xsd:enumeration value="Em Entrega"/>
          <xsd:enumeration value="Em Correção do Criador"/>
          <xsd:enumeration value="Em Correção do Revisor"/>
          <xsd:enumeration value="Entregue"/>
          <xsd:enumeration value="Cancelado"/>
          <xsd:enumeration value="Adiado"/>
        </xsd:restriction>
      </xsd:simpleType>
    </xsd:element>
    <xsd:element name="Fluxo_x0020_de_x0020_Aprova_x00e7__x00e3_o_x0020_de_x0020_Documentos" ma:index="9" nillable="true" ma:displayName="Fluxo de Documentos" ma:format="Hyperlink" ma:internalName="Fluxo_x0020_de_x0020_Aprova_x00e7__x00e3_o_x0020_de_x0020_Documen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ntrega" ma:index="10" nillable="true" ma:displayName="Entrega" ma:format="DateOnly" ma:internalName="Entrega">
      <xsd:simpleType>
        <xsd:restriction base="dms:DateTime"/>
      </xsd:simpleType>
    </xsd:element>
    <xsd:element name="Cliente" ma:index="11" nillable="true" ma:displayName="Cliente" ma:description="Indique o nome completo ou a sigla do cliente em favor de quem se realiza o documento ou, se não houver, o escritório." ma:internalName="Cliente">
      <xsd:simpleType>
        <xsd:restriction base="dms:Text">
          <xsd:maxLength value="255"/>
        </xsd:restriction>
      </xsd:simpleType>
    </xsd:element>
    <xsd:element name="Assunto_x0020_do_x0020_Documento_x003a_Assunto" ma:index="16" nillable="true" ma:displayName="Assunto do Documento:Assunto" ma:list="{43833cd5-331d-4000-8693-6473ec3c6426}" ma:internalName="Assunto_x0020_do_x0020_Documento_x003a_Assunto" ma:readOnly="true" ma:showField="Title" ma:web="381ee611-f51f-4a36-8d42-e44f8919228b">
      <xsd:simpleType>
        <xsd:restriction base="dms:Lookup"/>
      </xsd:simpleType>
    </xsd:element>
    <xsd:element name="Assunto_x0020_do_x0020_Documento_x003a_Campo" ma:index="17" nillable="true" ma:displayName="Assunto do Documento:Campo" ma:list="{43833cd5-331d-4000-8693-6473ec3c6426}" ma:internalName="Assunto_x0020_do_x0020_Documento_x003a_Campo" ma:readOnly="true" ma:showField="Campo" ma:web="381ee611-f51f-4a36-8d42-e44f8919228b">
      <xsd:simpleType>
        <xsd:restriction base="dms:Lookup"/>
      </xsd:simpleType>
    </xsd:element>
    <xsd:element name="Tipo_x0020_do_x0020_Documento_x003a_G_x00ea_nero" ma:index="18" nillable="true" ma:displayName="Tipo do Documento:Gênero" ma:list="{f834045d-1b98-4af9-a18e-d11c11bceac1}" ma:internalName="Tipo_x0020_do_x0020_Documento_x003a_G_x00ea_nero" ma:readOnly="true" ma:showField="Genero" ma:web="381ee611-f51f-4a36-8d42-e44f8919228b">
      <xsd:simpleType>
        <xsd:restriction base="dms:Lookup"/>
      </xsd:simpleType>
    </xsd:element>
    <xsd:element name="Tipo_x0020_do_x0020_Documento_x003a_Classe" ma:index="19" nillable="true" ma:displayName="Tipo do Documento:Classe" ma:list="{f834045d-1b98-4af9-a18e-d11c11bceac1}" ma:internalName="Tipo_x0020_do_x0020_Documento_x003a_Classe" ma:readOnly="true" ma:showField="Classe" ma:web="381ee611-f51f-4a36-8d42-e44f8919228b">
      <xsd:simpleType>
        <xsd:restriction base="dms:Lookup"/>
      </xsd:simpleType>
    </xsd:element>
    <xsd:element name="Processo" ma:index="21" nillable="true" ma:displayName="Processo" ma:description="Indique o número do processo" ma:internalName="Processo">
      <xsd:simpleType>
        <xsd:restriction base="dms:Text">
          <xsd:maxLength value="255"/>
        </xsd:restriction>
      </xsd:simpleType>
    </xsd:element>
    <xsd:element name="Destinat_x00e1_rio_x003a__x00d3_rgao" ma:index="23" nillable="true" ma:displayName="Destinatário:Órgao" ma:list="{6ad91ecd-9915-4046-a122-8a16adf60bae}" ma:internalName="Destinat_x00e1_rio_x003a__x00d3_rgao" ma:readOnly="true" ma:showField="Orgao" ma:web="381ee611-f51f-4a36-8d42-e44f8919228b">
      <xsd:simpleType>
        <xsd:restriction base="dms:Lookup"/>
      </xsd:simpleType>
    </xsd:element>
    <xsd:element name="Entregador" ma:index="24" ma:displayName="Entregador" ma:description="Indique o entregador previsto para o documento em desenvolvimento." ma:list="UserInfo" ma:SharePointGroup="0" ma:internalName="Entregad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" ma:index="25" ma:displayName="Revisor" ma:description="Indique o revisor previsto para o documento em desenvolvimento." ma:list="UserInfo" ma:SharePointGroup="0" ma:internalName="Revis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po_x0020_do_x0020_Documento_x003a_Esp_x00e9_cie" ma:index="26" nillable="true" ma:displayName="Tipo do Documento:Espécie" ma:list="{f834045d-1b98-4af9-a18e-d11c11bceac1}" ma:internalName="Tipo_x0020_do_x0020_Documento_x003a_Esp_x00e9_cie" ma:readOnly="true" ma:showField="Especie" ma:web="381ee611-f51f-4a36-8d42-e44f8919228b">
      <xsd:simpleType>
        <xsd:restriction base="dms:Lookup"/>
      </xsd:simpleType>
    </xsd:element>
    <xsd:element name="NomeAlterado" ma:index="27" nillable="true" ma:displayName="NomeAlterado" ma:default="0" ma:internalName="NomeAlterado">
      <xsd:simpleType>
        <xsd:restriction base="dms:Boolean"/>
      </xsd:simpleType>
    </xsd:element>
    <xsd:element name="Encaminhar_x0020_para_x0020_Entrega" ma:index="31" nillable="true" ma:displayName="Encaminhar para Entrega" ma:internalName="Encaminhar_x0020_para_x0020_Entreg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abilitar_x0020_Mudan_x00e7_a_x0020_de_x0020_Nome" ma:index="32" nillable="true" ma:displayName="Habilitar Mudança de Nome" ma:internalName="Habilitar_x0020_Mudan_x00e7_a_x0020_de_x0020_No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e611-f51f-4a36-8d42-e44f8919228b" elementFormDefault="qualified">
    <xsd:import namespace="http://schemas.microsoft.com/office/2006/documentManagement/types"/>
    <xsd:import namespace="http://schemas.microsoft.com/office/infopath/2007/PartnerControls"/>
    <xsd:element name="AssuntodoDocumento" ma:index="14" nillable="true" ma:displayName="Assunto do Documento" ma:description="Selecione o assunto de direito material do documento em desenvolvimento." ma:list="{43833cd5-331d-4000-8693-6473ec3c6426}" ma:internalName="AssuntodoDocumento" ma:showField="Rotulo" ma:web="381ee611-f51f-4a36-8d42-e44f8919228b">
      <xsd:simpleType>
        <xsd:restriction base="dms:Lookup"/>
      </xsd:simpleType>
    </xsd:element>
    <xsd:element name="TipodoDocumento" ma:index="15" nillable="true" ma:displayName="Tipo do Documento" ma:list="{f834045d-1b98-4af9-a18e-d11c11bceac1}" ma:internalName="TipodoDocumento" ma:readOnly="false" ma:showField="Title" ma:web="381ee611-f51f-4a36-8d42-e44f8919228b">
      <xsd:simpleType>
        <xsd:restriction base="dms:Lookup"/>
      </xsd:simpleType>
    </xsd:element>
    <xsd:element name="Entidade" ma:index="20" nillable="true" ma:displayName="Entidade" ma:description="Selecione a entidade a quem se vincula o cliente ou, se não houver, avulso." ma:list="{0530ef28-ea81-4d35-a44a-724592257bf6}" ma:internalName="Entidade" ma:readOnly="false" ma:showField="_x006c_ti4" ma:web="381ee611-f51f-4a36-8d42-e44f8919228b">
      <xsd:simpleType>
        <xsd:restriction base="dms:Lookup"/>
      </xsd:simpleType>
    </xsd:element>
    <xsd:element name="Destinatario" ma:index="22" nillable="true" ma:displayName="Destinatário" ma:description="Selecione o destinatário do documento" ma:list="{6ad91ecd-9915-4046-a122-8a16adf60bae}" ma:internalName="Destinatario" ma:readOnly="false" ma:showField="Title" ma:web="381ee611-f51f-4a36-8d42-e44f8919228b">
      <xsd:simpleType>
        <xsd:restriction base="dms:Lookup"/>
      </xsd:simpleType>
    </xsd:element>
    <xsd:element name="SharedWithUsers" ma:index="2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3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3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rega xmlns="e3718376-4e92-4ff6-af16-fb096180aea3" xsi:nil="true"/>
    <Entregador xmlns="e3718376-4e92-4ff6-af16-fb096180aea3">
      <UserInfo>
        <DisplayName>Julia Santos</DisplayName>
        <AccountId>2641</AccountId>
        <AccountType/>
      </UserInfo>
    </Entregador>
    <Status xmlns="e3718376-4e92-4ff6-af16-fb096180aea3">Em Desenvolvimento</Status>
    <Cliente xmlns="e3718376-4e92-4ff6-af16-fb096180aea3">Modelo geral</Cliente>
    <Entidade xmlns="381ee611-f51f-4a36-8d42-e44f8919228b" xsi:nil="true"/>
    <Encaminhar_x0020_para_x0020_Entrega xmlns="e3718376-4e92-4ff6-af16-fb096180aea3">
      <Url xsi:nil="true"/>
      <Description xsi:nil="true"/>
    </Encaminhar_x0020_para_x0020_Entrega>
    <Destinatario xmlns="381ee611-f51f-4a36-8d42-e44f8919228b">42</Destinatario>
    <Habilitar_x0020_Mudan_x00e7_a_x0020_de_x0020_Nome xmlns="e3718376-4e92-4ff6-af16-fb096180aea3">
      <Url xsi:nil="true"/>
      <Description xsi:nil="true"/>
    </Habilitar_x0020_Mudan_x00e7_a_x0020_de_x0020_Nome>
    <PublishingExpirationDate xmlns="http://schemas.microsoft.com/sharepoint/v3" xsi:nil="true"/>
    <NomeAlterado xmlns="e3718376-4e92-4ff6-af16-fb096180aea3">true</NomeAlterado>
    <PublishingStartDate xmlns="http://schemas.microsoft.com/sharepoint/v3" xsi:nil="true"/>
    <AssuntodoDocumento xmlns="381ee611-f51f-4a36-8d42-e44f8919228b">121</AssuntodoDocumento>
    <Processo xmlns="e3718376-4e92-4ff6-af16-fb096180aea3" xsi:nil="true"/>
    <Fluxo_x0020_de_x0020_Aprova_x00e7__x00e3_o_x0020_de_x0020_Documentos xmlns="e3718376-4e92-4ff6-af16-fb096180aea3">
      <Url>https://servidoradv.sharepoint.com/causas-coletivas/_layouts/15/wrkstat.aspx?List=e3718376-4e92-4ff6-af16-fb096180aea3&amp;WorkflowInstanceName=5af1f57c-1eab-4853-a9ee-fab3f2264be0</Url>
      <Description>Desenvolvimento do Documento</Description>
    </Fluxo_x0020_de_x0020_Aprova_x00e7__x00e3_o_x0020_de_x0020_Documentos>
    <TipodoDocumento xmlns="381ee611-f51f-4a36-8d42-e44f8919228b">72</TipodoDocumento>
    <Revisor xmlns="e3718376-4e92-4ff6-af16-fb096180aea3">
      <UserInfo>
        <DisplayName>Miriam Cheissele</DisplayName>
        <AccountId>1530</AccountId>
        <AccountType/>
      </UserInfo>
    </Revis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9EE7-9976-4EFE-865F-31C8D4768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718376-4e92-4ff6-af16-fb096180aea3"/>
    <ds:schemaRef ds:uri="381ee611-f51f-4a36-8d42-e44f89192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1C575-415E-4BAA-9BE4-69ED2F7B9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1D4BF-AF52-438D-BA69-A2A876A39351}">
  <ds:schemaRefs>
    <ds:schemaRef ds:uri="http://schemas.microsoft.com/office/2006/metadata/properties"/>
    <ds:schemaRef ds:uri="http://schemas.microsoft.com/office/infopath/2007/PartnerControls"/>
    <ds:schemaRef ds:uri="e3718376-4e92-4ff6-af16-fb096180aea3"/>
    <ds:schemaRef ds:uri="381ee611-f51f-4a36-8d42-e44f8919228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031C613-8FB8-47A2-83F6-073F58D4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2538</Words>
  <Characters>13707</Characters>
  <Application>Microsoft Office Word</Application>
  <DocSecurity>4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ReqAdm_Aposentadoria-ConversaoTempo_Modelo geral(6-10-2020)</vt:lpstr>
    </vt:vector>
  </TitlesOfParts>
  <Company>Microsoft</Company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ReqAdm_Aposentadoria-ConversaoTempo_Modelo geral(6-10-2020)</dc:title>
  <dc:creator>Jean P. Ruzzarin</dc:creator>
  <cp:lastModifiedBy>alessandra arnosti</cp:lastModifiedBy>
  <cp:revision>2</cp:revision>
  <cp:lastPrinted>2015-01-02T11:55:00Z</cp:lastPrinted>
  <dcterms:created xsi:type="dcterms:W3CDTF">2021-06-18T19:58:00Z</dcterms:created>
  <dcterms:modified xsi:type="dcterms:W3CDTF">2021-06-18T19:58:00Z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0x010100998248CDCAB5A34E941FB83B06E8C452</vt:lpwstr>
  </property>
</Properties>
</file>